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1" simplePos="0" relativeHeight="487223808">
            <wp:simplePos x="0" y="0"/>
            <wp:positionH relativeFrom="page">
              <wp:posOffset>0</wp:posOffset>
            </wp:positionH>
            <wp:positionV relativeFrom="page">
              <wp:posOffset>60</wp:posOffset>
            </wp:positionV>
            <wp:extent cx="7560564" cy="1065745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564" cy="10657459"/>
                    </a:xfrm>
                    <a:prstGeom prst="rect">
                      <a:avLst/>
                    </a:prstGeom>
                  </pic:spPr>
                </pic:pic>
              </a:graphicData>
            </a:graphic>
          </wp:anchor>
        </w:drawing>
      </w:r>
      <w:r>
        <w:rPr>
          <w:color w:val="242A82"/>
        </w:rPr>
        <w:t>Pacific</w:t>
      </w:r>
      <w:r>
        <w:rPr>
          <w:color w:val="242A82"/>
          <w:spacing w:val="-11"/>
        </w:rPr>
        <w:t> </w:t>
      </w:r>
      <w:r>
        <w:rPr>
          <w:color w:val="242A82"/>
        </w:rPr>
        <w:t>Australia</w:t>
      </w:r>
      <w:r>
        <w:rPr>
          <w:color w:val="242A82"/>
          <w:spacing w:val="-9"/>
        </w:rPr>
        <w:t> </w:t>
      </w:r>
      <w:r>
        <w:rPr>
          <w:color w:val="242A82"/>
        </w:rPr>
        <w:t>Labour</w:t>
      </w:r>
      <w:r>
        <w:rPr>
          <w:color w:val="242A82"/>
          <w:spacing w:val="-11"/>
        </w:rPr>
        <w:t> </w:t>
      </w:r>
      <w:r>
        <w:rPr>
          <w:color w:val="242A82"/>
        </w:rPr>
        <w:t>Mobility</w:t>
      </w:r>
      <w:r>
        <w:rPr>
          <w:color w:val="242A82"/>
          <w:spacing w:val="-8"/>
        </w:rPr>
        <w:t> </w:t>
      </w:r>
      <w:r>
        <w:rPr>
          <w:color w:val="242A82"/>
        </w:rPr>
        <w:t>(PALM) Scheme Data report</w:t>
      </w:r>
    </w:p>
    <w:p>
      <w:pPr>
        <w:spacing w:line="370" w:lineRule="exact" w:before="0"/>
        <w:ind w:left="115" w:right="0" w:firstLine="0"/>
        <w:jc w:val="left"/>
        <w:rPr>
          <w:b/>
          <w:sz w:val="32"/>
        </w:rPr>
      </w:pPr>
      <w:r>
        <w:rPr>
          <w:b/>
          <w:color w:val="242A82"/>
          <w:sz w:val="32"/>
        </w:rPr>
        <w:t>June</w:t>
      </w:r>
      <w:r>
        <w:rPr>
          <w:b/>
          <w:color w:val="242A82"/>
          <w:spacing w:val="-12"/>
          <w:sz w:val="32"/>
        </w:rPr>
        <w:t> </w:t>
      </w:r>
      <w:r>
        <w:rPr>
          <w:b/>
          <w:color w:val="242A82"/>
          <w:sz w:val="32"/>
        </w:rPr>
        <w:t>quarter</w:t>
      </w:r>
      <w:r>
        <w:rPr>
          <w:b/>
          <w:color w:val="242A82"/>
          <w:spacing w:val="-9"/>
          <w:sz w:val="32"/>
        </w:rPr>
        <w:t> </w:t>
      </w:r>
      <w:r>
        <w:rPr>
          <w:b/>
          <w:color w:val="242A82"/>
          <w:spacing w:val="-4"/>
          <w:sz w:val="32"/>
        </w:rPr>
        <w:t>2024</w:t>
      </w:r>
    </w:p>
    <w:p>
      <w:pPr>
        <w:pStyle w:val="BodyText"/>
        <w:rPr>
          <w:b/>
          <w:sz w:val="32"/>
        </w:rPr>
      </w:pPr>
    </w:p>
    <w:p>
      <w:pPr>
        <w:pStyle w:val="BodyText"/>
        <w:spacing w:before="211"/>
        <w:rPr>
          <w:b/>
          <w:sz w:val="32"/>
        </w:rPr>
      </w:pPr>
    </w:p>
    <w:p>
      <w:pPr>
        <w:pStyle w:val="Heading1"/>
        <w:numPr>
          <w:ilvl w:val="0"/>
          <w:numId w:val="1"/>
        </w:numPr>
        <w:tabs>
          <w:tab w:pos="541" w:val="left" w:leader="none"/>
        </w:tabs>
        <w:spacing w:line="240" w:lineRule="auto" w:before="0" w:after="0"/>
        <w:ind w:left="541" w:right="0" w:hanging="426"/>
        <w:jc w:val="left"/>
      </w:pPr>
      <w:r>
        <w:rPr>
          <w:color w:val="242A82"/>
          <w:spacing w:val="-2"/>
        </w:rPr>
        <w:t>Introduction</w:t>
      </w:r>
    </w:p>
    <w:p>
      <w:pPr>
        <w:spacing w:before="238"/>
        <w:ind w:left="115" w:right="567" w:firstLine="0"/>
        <w:jc w:val="left"/>
        <w:rPr>
          <w:sz w:val="22"/>
        </w:rPr>
      </w:pPr>
      <w:r>
        <w:rPr>
          <w:sz w:val="22"/>
        </w:rPr>
        <w:t>The Australian Government is committed to the responsible and sustainable growth of the Pacific</w:t>
      </w:r>
      <w:r>
        <w:rPr>
          <w:spacing w:val="-1"/>
          <w:sz w:val="22"/>
        </w:rPr>
        <w:t> </w:t>
      </w:r>
      <w:r>
        <w:rPr>
          <w:sz w:val="22"/>
        </w:rPr>
        <w:t>Australia</w:t>
      </w:r>
      <w:r>
        <w:rPr>
          <w:spacing w:val="-3"/>
          <w:sz w:val="22"/>
        </w:rPr>
        <w:t> </w:t>
      </w:r>
      <w:r>
        <w:rPr>
          <w:sz w:val="22"/>
        </w:rPr>
        <w:t>Labour</w:t>
      </w:r>
      <w:r>
        <w:rPr>
          <w:spacing w:val="-6"/>
          <w:sz w:val="22"/>
        </w:rPr>
        <w:t> </w:t>
      </w:r>
      <w:r>
        <w:rPr>
          <w:sz w:val="22"/>
        </w:rPr>
        <w:t>Mobility</w:t>
      </w:r>
      <w:r>
        <w:rPr>
          <w:spacing w:val="-3"/>
          <w:sz w:val="22"/>
        </w:rPr>
        <w:t> </w:t>
      </w:r>
      <w:r>
        <w:rPr>
          <w:sz w:val="22"/>
        </w:rPr>
        <w:t>(PALM)</w:t>
      </w:r>
      <w:r>
        <w:rPr>
          <w:spacing w:val="-4"/>
          <w:sz w:val="22"/>
        </w:rPr>
        <w:t> </w:t>
      </w:r>
      <w:r>
        <w:rPr>
          <w:sz w:val="22"/>
        </w:rPr>
        <w:t>scheme</w:t>
      </w:r>
      <w:r>
        <w:rPr>
          <w:spacing w:val="-4"/>
          <w:sz w:val="22"/>
        </w:rPr>
        <w:t> </w:t>
      </w:r>
      <w:r>
        <w:rPr>
          <w:sz w:val="22"/>
        </w:rPr>
        <w:t>to meet</w:t>
      </w:r>
      <w:r>
        <w:rPr>
          <w:spacing w:val="-3"/>
          <w:sz w:val="22"/>
        </w:rPr>
        <w:t> </w:t>
      </w:r>
      <w:r>
        <w:rPr>
          <w:sz w:val="22"/>
        </w:rPr>
        <w:t>industry</w:t>
      </w:r>
      <w:r>
        <w:rPr>
          <w:spacing w:val="-2"/>
          <w:sz w:val="22"/>
        </w:rPr>
        <w:t> </w:t>
      </w:r>
      <w:r>
        <w:rPr>
          <w:sz w:val="22"/>
        </w:rPr>
        <w:t>demand</w:t>
      </w:r>
      <w:r>
        <w:rPr>
          <w:spacing w:val="-2"/>
          <w:sz w:val="22"/>
        </w:rPr>
        <w:t> </w:t>
      </w:r>
      <w:r>
        <w:rPr>
          <w:sz w:val="22"/>
        </w:rPr>
        <w:t>and</w:t>
      </w:r>
      <w:r>
        <w:rPr>
          <w:spacing w:val="-2"/>
          <w:sz w:val="22"/>
        </w:rPr>
        <w:t> </w:t>
      </w:r>
      <w:r>
        <w:rPr>
          <w:sz w:val="22"/>
        </w:rPr>
        <w:t>the</w:t>
      </w:r>
      <w:r>
        <w:rPr>
          <w:spacing w:val="-3"/>
          <w:sz w:val="22"/>
        </w:rPr>
        <w:t> </w:t>
      </w:r>
      <w:r>
        <w:rPr>
          <w:sz w:val="22"/>
        </w:rPr>
        <w:t>aspirations</w:t>
      </w:r>
      <w:r>
        <w:rPr>
          <w:spacing w:val="-3"/>
          <w:sz w:val="22"/>
        </w:rPr>
        <w:t> </w:t>
      </w:r>
      <w:r>
        <w:rPr>
          <w:sz w:val="22"/>
        </w:rPr>
        <w:t>of partner countries. Labour mobility is central to Australia’s engagement with the Pacific and Timor-Leste, providing jobs for Pacific and Timor-Leste workers and enabling them to develop skills, earn income and support their families and communities back home.</w:t>
      </w:r>
    </w:p>
    <w:p>
      <w:pPr>
        <w:spacing w:before="120"/>
        <w:ind w:left="115" w:right="567" w:firstLine="0"/>
        <w:jc w:val="left"/>
        <w:rPr>
          <w:sz w:val="22"/>
        </w:rPr>
      </w:pPr>
      <w:r>
        <w:rPr>
          <w:sz w:val="22"/>
        </w:rPr>
        <w:t>PALM allows Australian businesses to hire workers from 9 Pacific Island countries and Timor- Leste when there are not enough local workers available. Businesses who meet the eligibility criteria</w:t>
      </w:r>
      <w:r>
        <w:rPr>
          <w:spacing w:val="-5"/>
          <w:sz w:val="22"/>
        </w:rPr>
        <w:t> </w:t>
      </w:r>
      <w:r>
        <w:rPr>
          <w:sz w:val="22"/>
        </w:rPr>
        <w:t>can</w:t>
      </w:r>
      <w:r>
        <w:rPr>
          <w:spacing w:val="-1"/>
          <w:sz w:val="22"/>
        </w:rPr>
        <w:t> </w:t>
      </w:r>
      <w:r>
        <w:rPr>
          <w:sz w:val="22"/>
        </w:rPr>
        <w:t>access</w:t>
      </w:r>
      <w:r>
        <w:rPr>
          <w:spacing w:val="-5"/>
          <w:sz w:val="22"/>
        </w:rPr>
        <w:t> </w:t>
      </w:r>
      <w:r>
        <w:rPr>
          <w:sz w:val="22"/>
        </w:rPr>
        <w:t>workers</w:t>
      </w:r>
      <w:r>
        <w:rPr>
          <w:spacing w:val="-1"/>
          <w:sz w:val="22"/>
        </w:rPr>
        <w:t> </w:t>
      </w:r>
      <w:r>
        <w:rPr>
          <w:sz w:val="22"/>
        </w:rPr>
        <w:t>in</w:t>
      </w:r>
      <w:r>
        <w:rPr>
          <w:spacing w:val="-3"/>
          <w:sz w:val="22"/>
        </w:rPr>
        <w:t> </w:t>
      </w:r>
      <w:r>
        <w:rPr>
          <w:sz w:val="22"/>
        </w:rPr>
        <w:t>the</w:t>
      </w:r>
      <w:r>
        <w:rPr>
          <w:spacing w:val="-4"/>
          <w:sz w:val="22"/>
        </w:rPr>
        <w:t> </w:t>
      </w:r>
      <w:r>
        <w:rPr>
          <w:sz w:val="22"/>
        </w:rPr>
        <w:t>short-term</w:t>
      </w:r>
      <w:r>
        <w:rPr>
          <w:spacing w:val="-2"/>
          <w:sz w:val="22"/>
        </w:rPr>
        <w:t> </w:t>
      </w:r>
      <w:r>
        <w:rPr>
          <w:sz w:val="22"/>
        </w:rPr>
        <w:t>stream</w:t>
      </w:r>
      <w:r>
        <w:rPr>
          <w:spacing w:val="-2"/>
          <w:sz w:val="22"/>
        </w:rPr>
        <w:t> </w:t>
      </w:r>
      <w:r>
        <w:rPr>
          <w:sz w:val="22"/>
        </w:rPr>
        <w:t>(up</w:t>
      </w:r>
      <w:r>
        <w:rPr>
          <w:spacing w:val="-2"/>
          <w:sz w:val="22"/>
        </w:rPr>
        <w:t> </w:t>
      </w:r>
      <w:r>
        <w:rPr>
          <w:sz w:val="22"/>
        </w:rPr>
        <w:t>to</w:t>
      </w:r>
      <w:r>
        <w:rPr>
          <w:spacing w:val="-5"/>
          <w:sz w:val="22"/>
        </w:rPr>
        <w:t> </w:t>
      </w:r>
      <w:r>
        <w:rPr>
          <w:sz w:val="22"/>
        </w:rPr>
        <w:t>9</w:t>
      </w:r>
      <w:r>
        <w:rPr>
          <w:spacing w:val="-2"/>
          <w:sz w:val="22"/>
        </w:rPr>
        <w:t> </w:t>
      </w:r>
      <w:r>
        <w:rPr>
          <w:sz w:val="22"/>
        </w:rPr>
        <w:t>months)</w:t>
      </w:r>
      <w:r>
        <w:rPr>
          <w:spacing w:val="-4"/>
          <w:sz w:val="22"/>
        </w:rPr>
        <w:t> </w:t>
      </w:r>
      <w:r>
        <w:rPr>
          <w:sz w:val="22"/>
        </w:rPr>
        <w:t>and/or in</w:t>
      </w:r>
      <w:r>
        <w:rPr>
          <w:spacing w:val="-2"/>
          <w:sz w:val="22"/>
        </w:rPr>
        <w:t> </w:t>
      </w:r>
      <w:r>
        <w:rPr>
          <w:sz w:val="22"/>
        </w:rPr>
        <w:t>the</w:t>
      </w:r>
      <w:r>
        <w:rPr>
          <w:spacing w:val="-5"/>
          <w:sz w:val="22"/>
        </w:rPr>
        <w:t> </w:t>
      </w:r>
      <w:r>
        <w:rPr>
          <w:sz w:val="22"/>
        </w:rPr>
        <w:t>long-term stream (between one and 4 years).</w:t>
      </w:r>
    </w:p>
    <w:p>
      <w:pPr>
        <w:spacing w:before="121"/>
        <w:ind w:left="115" w:right="0" w:firstLine="0"/>
        <w:jc w:val="left"/>
        <w:rPr>
          <w:sz w:val="22"/>
        </w:rPr>
      </w:pPr>
      <w:r>
        <w:rPr>
          <w:sz w:val="22"/>
        </w:rPr>
        <w:t>PALM scheme employers in the agriculture sector and select agriculture-related food product manufacturing</w:t>
      </w:r>
      <w:r>
        <w:rPr>
          <w:spacing w:val="-2"/>
          <w:sz w:val="22"/>
        </w:rPr>
        <w:t> </w:t>
      </w:r>
      <w:r>
        <w:rPr>
          <w:sz w:val="22"/>
        </w:rPr>
        <w:t>sectors</w:t>
      </w:r>
      <w:r>
        <w:rPr>
          <w:spacing w:val="-2"/>
          <w:sz w:val="22"/>
        </w:rPr>
        <w:t> </w:t>
      </w:r>
      <w:r>
        <w:rPr>
          <w:sz w:val="22"/>
        </w:rPr>
        <w:t>can</w:t>
      </w:r>
      <w:r>
        <w:rPr>
          <w:spacing w:val="-2"/>
          <w:sz w:val="22"/>
        </w:rPr>
        <w:t> </w:t>
      </w:r>
      <w:r>
        <w:rPr>
          <w:sz w:val="22"/>
        </w:rPr>
        <w:t>be</w:t>
      </w:r>
      <w:r>
        <w:rPr>
          <w:spacing w:val="-3"/>
          <w:sz w:val="22"/>
        </w:rPr>
        <w:t> </w:t>
      </w:r>
      <w:r>
        <w:rPr>
          <w:sz w:val="22"/>
        </w:rPr>
        <w:t>based</w:t>
      </w:r>
      <w:r>
        <w:rPr>
          <w:spacing w:val="-2"/>
          <w:sz w:val="22"/>
        </w:rPr>
        <w:t> </w:t>
      </w:r>
      <w:r>
        <w:rPr>
          <w:sz w:val="22"/>
        </w:rPr>
        <w:t>anywhere</w:t>
      </w:r>
      <w:r>
        <w:rPr>
          <w:spacing w:val="-2"/>
          <w:sz w:val="22"/>
        </w:rPr>
        <w:t> </w:t>
      </w:r>
      <w:r>
        <w:rPr>
          <w:sz w:val="22"/>
        </w:rPr>
        <w:t>in</w:t>
      </w:r>
      <w:r>
        <w:rPr>
          <w:spacing w:val="-2"/>
          <w:sz w:val="22"/>
        </w:rPr>
        <w:t> </w:t>
      </w:r>
      <w:r>
        <w:rPr>
          <w:sz w:val="22"/>
        </w:rPr>
        <w:t>Australia.</w:t>
      </w:r>
      <w:r>
        <w:rPr>
          <w:spacing w:val="-1"/>
          <w:sz w:val="22"/>
        </w:rPr>
        <w:t> </w:t>
      </w:r>
      <w:r>
        <w:rPr>
          <w:sz w:val="22"/>
        </w:rPr>
        <w:t>All</w:t>
      </w:r>
      <w:r>
        <w:rPr>
          <w:spacing w:val="-5"/>
          <w:sz w:val="22"/>
        </w:rPr>
        <w:t> </w:t>
      </w:r>
      <w:r>
        <w:rPr>
          <w:sz w:val="22"/>
        </w:rPr>
        <w:t>other</w:t>
      </w:r>
      <w:r>
        <w:rPr>
          <w:spacing w:val="-4"/>
          <w:sz w:val="22"/>
        </w:rPr>
        <w:t> </w:t>
      </w:r>
      <w:r>
        <w:rPr>
          <w:sz w:val="22"/>
        </w:rPr>
        <w:t>sectors</w:t>
      </w:r>
      <w:r>
        <w:rPr>
          <w:spacing w:val="-2"/>
          <w:sz w:val="22"/>
        </w:rPr>
        <w:t> </w:t>
      </w:r>
      <w:r>
        <w:rPr>
          <w:sz w:val="22"/>
        </w:rPr>
        <w:t>must</w:t>
      </w:r>
      <w:r>
        <w:rPr>
          <w:spacing w:val="-2"/>
          <w:sz w:val="22"/>
        </w:rPr>
        <w:t> </w:t>
      </w:r>
      <w:r>
        <w:rPr>
          <w:sz w:val="22"/>
        </w:rPr>
        <w:t>be</w:t>
      </w:r>
      <w:r>
        <w:rPr>
          <w:spacing w:val="-3"/>
          <w:sz w:val="22"/>
        </w:rPr>
        <w:t> </w:t>
      </w:r>
      <w:r>
        <w:rPr>
          <w:sz w:val="22"/>
        </w:rPr>
        <w:t>based in</w:t>
      </w:r>
      <w:r>
        <w:rPr>
          <w:spacing w:val="-5"/>
          <w:sz w:val="22"/>
        </w:rPr>
        <w:t> </w:t>
      </w:r>
      <w:r>
        <w:rPr>
          <w:sz w:val="22"/>
        </w:rPr>
        <w:t>a regional or rural location.</w:t>
      </w:r>
    </w:p>
    <w:p>
      <w:pPr>
        <w:spacing w:before="119"/>
        <w:ind w:left="115" w:right="0" w:firstLine="0"/>
        <w:jc w:val="left"/>
        <w:rPr>
          <w:sz w:val="22"/>
        </w:rPr>
      </w:pPr>
      <w:r>
        <w:rPr>
          <w:sz w:val="22"/>
        </w:rPr>
        <w:t>For</w:t>
      </w:r>
      <w:r>
        <w:rPr>
          <w:spacing w:val="-5"/>
          <w:sz w:val="22"/>
        </w:rPr>
        <w:t> </w:t>
      </w:r>
      <w:r>
        <w:rPr>
          <w:sz w:val="22"/>
        </w:rPr>
        <w:t>more</w:t>
      </w:r>
      <w:r>
        <w:rPr>
          <w:spacing w:val="-4"/>
          <w:sz w:val="22"/>
        </w:rPr>
        <w:t> </w:t>
      </w:r>
      <w:r>
        <w:rPr>
          <w:sz w:val="22"/>
        </w:rPr>
        <w:t>information,</w:t>
      </w:r>
      <w:r>
        <w:rPr>
          <w:spacing w:val="-5"/>
          <w:sz w:val="22"/>
        </w:rPr>
        <w:t> </w:t>
      </w:r>
      <w:r>
        <w:rPr>
          <w:sz w:val="22"/>
        </w:rPr>
        <w:t>refer</w:t>
      </w:r>
      <w:r>
        <w:rPr>
          <w:spacing w:val="-4"/>
          <w:sz w:val="22"/>
        </w:rPr>
        <w:t> </w:t>
      </w:r>
      <w:r>
        <w:rPr>
          <w:sz w:val="22"/>
        </w:rPr>
        <w:t>to</w:t>
      </w:r>
      <w:r>
        <w:rPr>
          <w:spacing w:val="-5"/>
          <w:sz w:val="22"/>
        </w:rPr>
        <w:t> </w:t>
      </w:r>
      <w:r>
        <w:rPr>
          <w:sz w:val="22"/>
        </w:rPr>
        <w:t>the</w:t>
      </w:r>
      <w:r>
        <w:rPr>
          <w:spacing w:val="-7"/>
          <w:sz w:val="22"/>
        </w:rPr>
        <w:t> </w:t>
      </w:r>
      <w:r>
        <w:rPr>
          <w:sz w:val="22"/>
        </w:rPr>
        <w:t>PALM</w:t>
      </w:r>
      <w:r>
        <w:rPr>
          <w:spacing w:val="-3"/>
          <w:sz w:val="22"/>
        </w:rPr>
        <w:t> </w:t>
      </w:r>
      <w:r>
        <w:rPr>
          <w:sz w:val="22"/>
        </w:rPr>
        <w:t>scheme</w:t>
      </w:r>
      <w:r>
        <w:rPr>
          <w:spacing w:val="-4"/>
          <w:sz w:val="22"/>
        </w:rPr>
        <w:t> </w:t>
      </w:r>
      <w:r>
        <w:rPr>
          <w:sz w:val="22"/>
        </w:rPr>
        <w:t>website:</w:t>
      </w:r>
      <w:r>
        <w:rPr>
          <w:spacing w:val="61"/>
          <w:sz w:val="22"/>
        </w:rPr>
        <w:t> </w:t>
      </w:r>
      <w:hyperlink r:id="rId6">
        <w:r>
          <w:rPr>
            <w:color w:val="009CCC"/>
            <w:spacing w:val="-2"/>
            <w:sz w:val="22"/>
            <w:u w:val="single" w:color="009CCC"/>
          </w:rPr>
          <w:t>www.palmscheme.gov.au</w:t>
        </w:r>
      </w:hyperlink>
      <w:r>
        <w:rPr>
          <w:spacing w:val="-2"/>
          <w:sz w:val="22"/>
          <w:u w:val="none"/>
        </w:rPr>
        <w:t>.</w:t>
      </w:r>
    </w:p>
    <w:p>
      <w:pPr>
        <w:pStyle w:val="BodyText"/>
        <w:spacing w:before="106"/>
        <w:rPr>
          <w:sz w:val="22"/>
        </w:rPr>
      </w:pPr>
    </w:p>
    <w:p>
      <w:pPr>
        <w:pStyle w:val="Heading2"/>
      </w:pPr>
      <w:r>
        <w:rPr>
          <w:color w:val="242A82"/>
        </w:rPr>
        <w:t>Data</w:t>
      </w:r>
      <w:r>
        <w:rPr>
          <w:color w:val="242A82"/>
          <w:spacing w:val="-4"/>
        </w:rPr>
        <w:t> </w:t>
      </w:r>
      <w:r>
        <w:rPr>
          <w:color w:val="242A82"/>
        </w:rPr>
        <w:t>quality</w:t>
      </w:r>
      <w:r>
        <w:rPr>
          <w:color w:val="242A82"/>
          <w:spacing w:val="-4"/>
        </w:rPr>
        <w:t> </w:t>
      </w:r>
      <w:r>
        <w:rPr>
          <w:color w:val="242A82"/>
          <w:spacing w:val="-2"/>
        </w:rPr>
        <w:t>review</w:t>
      </w:r>
    </w:p>
    <w:p>
      <w:pPr>
        <w:spacing w:before="119"/>
        <w:ind w:left="115" w:right="641" w:firstLine="0"/>
        <w:jc w:val="left"/>
        <w:rPr>
          <w:sz w:val="22"/>
        </w:rPr>
      </w:pPr>
      <w:r>
        <w:rPr>
          <w:sz w:val="22"/>
        </w:rPr>
        <w:t>From July 2023, the Australian Government consolidated and insourced the PALM scheme’s domestic operations within the Department of Employment and Workplace Relations. Shortly after</w:t>
      </w:r>
      <w:r>
        <w:rPr>
          <w:spacing w:val="-4"/>
          <w:sz w:val="22"/>
        </w:rPr>
        <w:t> </w:t>
      </w:r>
      <w:r>
        <w:rPr>
          <w:sz w:val="22"/>
        </w:rPr>
        <w:t>the</w:t>
      </w:r>
      <w:r>
        <w:rPr>
          <w:spacing w:val="-3"/>
          <w:sz w:val="22"/>
        </w:rPr>
        <w:t> </w:t>
      </w:r>
      <w:r>
        <w:rPr>
          <w:sz w:val="22"/>
        </w:rPr>
        <w:t>insourcing</w:t>
      </w:r>
      <w:r>
        <w:rPr>
          <w:spacing w:val="-2"/>
          <w:sz w:val="22"/>
        </w:rPr>
        <w:t> </w:t>
      </w:r>
      <w:r>
        <w:rPr>
          <w:sz w:val="22"/>
        </w:rPr>
        <w:t>of</w:t>
      </w:r>
      <w:r>
        <w:rPr>
          <w:spacing w:val="-4"/>
          <w:sz w:val="22"/>
        </w:rPr>
        <w:t> </w:t>
      </w:r>
      <w:r>
        <w:rPr>
          <w:sz w:val="22"/>
        </w:rPr>
        <w:t>the</w:t>
      </w:r>
      <w:r>
        <w:rPr>
          <w:spacing w:val="-3"/>
          <w:sz w:val="22"/>
        </w:rPr>
        <w:t> </w:t>
      </w:r>
      <w:r>
        <w:rPr>
          <w:sz w:val="22"/>
        </w:rPr>
        <w:t>scheme</w:t>
      </w:r>
      <w:r>
        <w:rPr>
          <w:spacing w:val="-1"/>
          <w:sz w:val="22"/>
        </w:rPr>
        <w:t> </w:t>
      </w:r>
      <w:r>
        <w:rPr>
          <w:sz w:val="22"/>
        </w:rPr>
        <w:t>including</w:t>
      </w:r>
      <w:r>
        <w:rPr>
          <w:spacing w:val="-5"/>
          <w:sz w:val="22"/>
        </w:rPr>
        <w:t> </w:t>
      </w:r>
      <w:r>
        <w:rPr>
          <w:sz w:val="22"/>
        </w:rPr>
        <w:t>related</w:t>
      </w:r>
      <w:r>
        <w:rPr>
          <w:spacing w:val="-3"/>
          <w:sz w:val="22"/>
        </w:rPr>
        <w:t> </w:t>
      </w:r>
      <w:r>
        <w:rPr>
          <w:sz w:val="22"/>
        </w:rPr>
        <w:t>data</w:t>
      </w:r>
      <w:r>
        <w:rPr>
          <w:spacing w:val="-3"/>
          <w:sz w:val="22"/>
        </w:rPr>
        <w:t> </w:t>
      </w:r>
      <w:r>
        <w:rPr>
          <w:sz w:val="22"/>
        </w:rPr>
        <w:t>systems,</w:t>
      </w:r>
      <w:r>
        <w:rPr>
          <w:spacing w:val="-3"/>
          <w:sz w:val="22"/>
        </w:rPr>
        <w:t> </w:t>
      </w:r>
      <w:r>
        <w:rPr>
          <w:sz w:val="22"/>
        </w:rPr>
        <w:t>the</w:t>
      </w:r>
      <w:r>
        <w:rPr>
          <w:spacing w:val="-3"/>
          <w:sz w:val="22"/>
        </w:rPr>
        <w:t> </w:t>
      </w:r>
      <w:r>
        <w:rPr>
          <w:sz w:val="22"/>
        </w:rPr>
        <w:t>department</w:t>
      </w:r>
      <w:r>
        <w:rPr>
          <w:spacing w:val="-1"/>
          <w:sz w:val="22"/>
        </w:rPr>
        <w:t> </w:t>
      </w:r>
      <w:r>
        <w:rPr>
          <w:sz w:val="22"/>
        </w:rPr>
        <w:t>undertook</w:t>
      </w:r>
      <w:r>
        <w:rPr>
          <w:spacing w:val="-3"/>
          <w:sz w:val="22"/>
        </w:rPr>
        <w:t> </w:t>
      </w:r>
      <w:r>
        <w:rPr>
          <w:sz w:val="22"/>
        </w:rPr>
        <w:t>a review of data quality. The review identified inaccuracies in the methods used to calculate previously reported worker numbers. The department undertook an extensive process to identify the errors and develop a new methodology for quantifying worker numbers. Counts of employer numbers are not affected.</w:t>
      </w:r>
    </w:p>
    <w:p>
      <w:pPr>
        <w:spacing w:before="120"/>
        <w:ind w:left="115" w:right="0" w:firstLine="0"/>
        <w:jc w:val="left"/>
        <w:rPr>
          <w:sz w:val="22"/>
        </w:rPr>
      </w:pPr>
      <w:r>
        <w:rPr>
          <w:sz w:val="22"/>
        </w:rPr>
        <w:t>The</w:t>
      </w:r>
      <w:r>
        <w:rPr>
          <w:spacing w:val="-6"/>
          <w:sz w:val="22"/>
        </w:rPr>
        <w:t> </w:t>
      </w:r>
      <w:r>
        <w:rPr>
          <w:sz w:val="22"/>
        </w:rPr>
        <w:t>review</w:t>
      </w:r>
      <w:r>
        <w:rPr>
          <w:spacing w:val="-5"/>
          <w:sz w:val="22"/>
        </w:rPr>
        <w:t> </w:t>
      </w:r>
      <w:r>
        <w:rPr>
          <w:sz w:val="22"/>
        </w:rPr>
        <w:t>and</w:t>
      </w:r>
      <w:r>
        <w:rPr>
          <w:spacing w:val="-4"/>
          <w:sz w:val="22"/>
        </w:rPr>
        <w:t> </w:t>
      </w:r>
      <w:r>
        <w:rPr>
          <w:sz w:val="22"/>
        </w:rPr>
        <w:t>development</w:t>
      </w:r>
      <w:r>
        <w:rPr>
          <w:spacing w:val="-3"/>
          <w:sz w:val="22"/>
        </w:rPr>
        <w:t> </w:t>
      </w:r>
      <w:r>
        <w:rPr>
          <w:sz w:val="22"/>
        </w:rPr>
        <w:t>of</w:t>
      </w:r>
      <w:r>
        <w:rPr>
          <w:spacing w:val="-7"/>
          <w:sz w:val="22"/>
        </w:rPr>
        <w:t> </w:t>
      </w:r>
      <w:r>
        <w:rPr>
          <w:sz w:val="22"/>
        </w:rPr>
        <w:t>the</w:t>
      </w:r>
      <w:r>
        <w:rPr>
          <w:spacing w:val="-3"/>
          <w:sz w:val="22"/>
        </w:rPr>
        <w:t> </w:t>
      </w:r>
      <w:r>
        <w:rPr>
          <w:sz w:val="22"/>
        </w:rPr>
        <w:t>revised</w:t>
      </w:r>
      <w:r>
        <w:rPr>
          <w:spacing w:val="-4"/>
          <w:sz w:val="22"/>
        </w:rPr>
        <w:t> </w:t>
      </w:r>
      <w:r>
        <w:rPr>
          <w:sz w:val="22"/>
        </w:rPr>
        <w:t>methodology</w:t>
      </w:r>
      <w:r>
        <w:rPr>
          <w:spacing w:val="-5"/>
          <w:sz w:val="22"/>
        </w:rPr>
        <w:t> </w:t>
      </w:r>
      <w:r>
        <w:rPr>
          <w:sz w:val="22"/>
        </w:rPr>
        <w:t>was</w:t>
      </w:r>
      <w:r>
        <w:rPr>
          <w:spacing w:val="-5"/>
          <w:sz w:val="22"/>
        </w:rPr>
        <w:t> </w:t>
      </w:r>
      <w:r>
        <w:rPr>
          <w:sz w:val="22"/>
        </w:rPr>
        <w:t>a</w:t>
      </w:r>
      <w:r>
        <w:rPr>
          <w:spacing w:val="-4"/>
          <w:sz w:val="22"/>
        </w:rPr>
        <w:t> </w:t>
      </w:r>
      <w:r>
        <w:rPr>
          <w:sz w:val="22"/>
        </w:rPr>
        <w:t>joint</w:t>
      </w:r>
      <w:r>
        <w:rPr>
          <w:spacing w:val="-3"/>
          <w:sz w:val="22"/>
        </w:rPr>
        <w:t> </w:t>
      </w:r>
      <w:r>
        <w:rPr>
          <w:sz w:val="22"/>
        </w:rPr>
        <w:t>undertaking</w:t>
      </w:r>
      <w:r>
        <w:rPr>
          <w:spacing w:val="-4"/>
          <w:sz w:val="22"/>
        </w:rPr>
        <w:t> </w:t>
      </w:r>
      <w:r>
        <w:rPr>
          <w:sz w:val="22"/>
        </w:rPr>
        <w:t>with</w:t>
      </w:r>
      <w:r>
        <w:rPr>
          <w:spacing w:val="-7"/>
          <w:sz w:val="22"/>
        </w:rPr>
        <w:t> </w:t>
      </w:r>
      <w:r>
        <w:rPr>
          <w:spacing w:val="-5"/>
          <w:sz w:val="22"/>
        </w:rPr>
        <w:t>the</w:t>
      </w:r>
    </w:p>
    <w:p>
      <w:pPr>
        <w:spacing w:before="2"/>
        <w:ind w:left="115" w:right="0" w:firstLine="0"/>
        <w:jc w:val="left"/>
        <w:rPr>
          <w:sz w:val="22"/>
        </w:rPr>
      </w:pPr>
      <w:r>
        <w:rPr>
          <w:sz w:val="22"/>
        </w:rPr>
        <w:t>department’s</w:t>
      </w:r>
      <w:r>
        <w:rPr>
          <w:spacing w:val="-9"/>
          <w:sz w:val="22"/>
        </w:rPr>
        <w:t> </w:t>
      </w:r>
      <w:r>
        <w:rPr>
          <w:sz w:val="22"/>
        </w:rPr>
        <w:t>Chief</w:t>
      </w:r>
      <w:r>
        <w:rPr>
          <w:spacing w:val="-7"/>
          <w:sz w:val="22"/>
        </w:rPr>
        <w:t> </w:t>
      </w:r>
      <w:r>
        <w:rPr>
          <w:sz w:val="22"/>
        </w:rPr>
        <w:t>Data</w:t>
      </w:r>
      <w:r>
        <w:rPr>
          <w:spacing w:val="-9"/>
          <w:sz w:val="22"/>
        </w:rPr>
        <w:t> </w:t>
      </w:r>
      <w:r>
        <w:rPr>
          <w:sz w:val="22"/>
        </w:rPr>
        <w:t>Officer,</w:t>
      </w:r>
      <w:r>
        <w:rPr>
          <w:spacing w:val="-6"/>
          <w:sz w:val="22"/>
        </w:rPr>
        <w:t> </w:t>
      </w:r>
      <w:r>
        <w:rPr>
          <w:sz w:val="22"/>
        </w:rPr>
        <w:t>providing</w:t>
      </w:r>
      <w:r>
        <w:rPr>
          <w:spacing w:val="-7"/>
          <w:sz w:val="22"/>
        </w:rPr>
        <w:t> </w:t>
      </w:r>
      <w:r>
        <w:rPr>
          <w:sz w:val="22"/>
        </w:rPr>
        <w:t>independent</w:t>
      </w:r>
      <w:r>
        <w:rPr>
          <w:spacing w:val="-6"/>
          <w:sz w:val="22"/>
        </w:rPr>
        <w:t> </w:t>
      </w:r>
      <w:r>
        <w:rPr>
          <w:sz w:val="22"/>
        </w:rPr>
        <w:t>oversight</w:t>
      </w:r>
      <w:r>
        <w:rPr>
          <w:spacing w:val="-8"/>
          <w:sz w:val="22"/>
        </w:rPr>
        <w:t> </w:t>
      </w:r>
      <w:r>
        <w:rPr>
          <w:sz w:val="22"/>
        </w:rPr>
        <w:t>of</w:t>
      </w:r>
      <w:r>
        <w:rPr>
          <w:spacing w:val="-8"/>
          <w:sz w:val="22"/>
        </w:rPr>
        <w:t> </w:t>
      </w:r>
      <w:r>
        <w:rPr>
          <w:sz w:val="22"/>
        </w:rPr>
        <w:t>the</w:t>
      </w:r>
      <w:r>
        <w:rPr>
          <w:spacing w:val="-9"/>
          <w:sz w:val="22"/>
        </w:rPr>
        <w:t> </w:t>
      </w:r>
      <w:r>
        <w:rPr>
          <w:spacing w:val="-2"/>
          <w:sz w:val="22"/>
        </w:rPr>
        <w:t>review.</w:t>
      </w:r>
    </w:p>
    <w:p>
      <w:pPr>
        <w:spacing w:before="119"/>
        <w:ind w:left="115" w:right="641" w:firstLine="0"/>
        <w:jc w:val="left"/>
        <w:rPr>
          <w:sz w:val="22"/>
        </w:rPr>
      </w:pPr>
      <w:r>
        <w:rPr>
          <w:sz w:val="22"/>
        </w:rPr>
        <w:t>The review found errors in both short and long-term raw datasets. A range of factors contributed to the incorrect calculation of PALM worker data, including: the impact of combining disparate data from the short-term stream under the Seasonal Worker Program (SWP) and the</w:t>
      </w:r>
      <w:r>
        <w:rPr>
          <w:spacing w:val="-2"/>
          <w:sz w:val="22"/>
        </w:rPr>
        <w:t> </w:t>
      </w:r>
      <w:r>
        <w:rPr>
          <w:sz w:val="22"/>
        </w:rPr>
        <w:t>long-term</w:t>
      </w:r>
      <w:r>
        <w:rPr>
          <w:spacing w:val="-2"/>
          <w:sz w:val="22"/>
        </w:rPr>
        <w:t> </w:t>
      </w:r>
      <w:r>
        <w:rPr>
          <w:sz w:val="22"/>
        </w:rPr>
        <w:t>stream under the Pacific Labour Scheme</w:t>
      </w:r>
      <w:r>
        <w:rPr>
          <w:spacing w:val="-1"/>
          <w:sz w:val="22"/>
        </w:rPr>
        <w:t> </w:t>
      </w:r>
      <w:r>
        <w:rPr>
          <w:sz w:val="22"/>
        </w:rPr>
        <w:t>(PLS); missing and duplicate records;</w:t>
      </w:r>
      <w:r>
        <w:rPr>
          <w:spacing w:val="-4"/>
          <w:sz w:val="22"/>
        </w:rPr>
        <w:t> </w:t>
      </w:r>
      <w:r>
        <w:rPr>
          <w:sz w:val="22"/>
        </w:rPr>
        <w:t>the</w:t>
      </w:r>
      <w:r>
        <w:rPr>
          <w:spacing w:val="-5"/>
          <w:sz w:val="22"/>
        </w:rPr>
        <w:t> </w:t>
      </w:r>
      <w:r>
        <w:rPr>
          <w:sz w:val="22"/>
        </w:rPr>
        <w:t>incorrect</w:t>
      </w:r>
      <w:r>
        <w:rPr>
          <w:spacing w:val="-3"/>
          <w:sz w:val="22"/>
        </w:rPr>
        <w:t> </w:t>
      </w:r>
      <w:r>
        <w:rPr>
          <w:sz w:val="22"/>
        </w:rPr>
        <w:t>treatment when</w:t>
      </w:r>
      <w:r>
        <w:rPr>
          <w:spacing w:val="-5"/>
          <w:sz w:val="22"/>
        </w:rPr>
        <w:t> </w:t>
      </w:r>
      <w:r>
        <w:rPr>
          <w:sz w:val="22"/>
        </w:rPr>
        <w:t>counting</w:t>
      </w:r>
      <w:r>
        <w:rPr>
          <w:spacing w:val="-4"/>
          <w:sz w:val="22"/>
        </w:rPr>
        <w:t> </w:t>
      </w:r>
      <w:r>
        <w:rPr>
          <w:sz w:val="22"/>
        </w:rPr>
        <w:t>onshore</w:t>
      </w:r>
      <w:r>
        <w:rPr>
          <w:spacing w:val="-2"/>
          <w:sz w:val="22"/>
        </w:rPr>
        <w:t> </w:t>
      </w:r>
      <w:r>
        <w:rPr>
          <w:sz w:val="22"/>
        </w:rPr>
        <w:t>and</w:t>
      </w:r>
      <w:r>
        <w:rPr>
          <w:spacing w:val="-3"/>
          <w:sz w:val="22"/>
        </w:rPr>
        <w:t> </w:t>
      </w:r>
      <w:r>
        <w:rPr>
          <w:sz w:val="22"/>
        </w:rPr>
        <w:t>offshore</w:t>
      </w:r>
      <w:r>
        <w:rPr>
          <w:spacing w:val="-1"/>
          <w:sz w:val="22"/>
        </w:rPr>
        <w:t> </w:t>
      </w:r>
      <w:r>
        <w:rPr>
          <w:sz w:val="22"/>
        </w:rPr>
        <w:t>movements;</w:t>
      </w:r>
      <w:r>
        <w:rPr>
          <w:spacing w:val="-1"/>
          <w:sz w:val="22"/>
        </w:rPr>
        <w:t> </w:t>
      </w:r>
      <w:r>
        <w:rPr>
          <w:sz w:val="22"/>
        </w:rPr>
        <w:t>and</w:t>
      </w:r>
      <w:r>
        <w:rPr>
          <w:spacing w:val="-3"/>
          <w:sz w:val="22"/>
        </w:rPr>
        <w:t> </w:t>
      </w:r>
      <w:r>
        <w:rPr>
          <w:sz w:val="22"/>
        </w:rPr>
        <w:t>a</w:t>
      </w:r>
      <w:r>
        <w:rPr>
          <w:spacing w:val="-5"/>
          <w:sz w:val="22"/>
        </w:rPr>
        <w:t> </w:t>
      </w:r>
      <w:r>
        <w:rPr>
          <w:sz w:val="22"/>
        </w:rPr>
        <w:t>range of inconsistent and incompatible data processing rules over time.</w:t>
      </w:r>
    </w:p>
    <w:p>
      <w:pPr>
        <w:spacing w:before="120"/>
        <w:ind w:left="115" w:right="1003" w:firstLine="0"/>
        <w:jc w:val="both"/>
        <w:rPr>
          <w:sz w:val="22"/>
        </w:rPr>
      </w:pPr>
      <w:r>
        <w:rPr>
          <w:sz w:val="22"/>
        </w:rPr>
        <w:t>The</w:t>
      </w:r>
      <w:r>
        <w:rPr>
          <w:spacing w:val="-3"/>
          <w:sz w:val="22"/>
        </w:rPr>
        <w:t> </w:t>
      </w:r>
      <w:r>
        <w:rPr>
          <w:sz w:val="22"/>
        </w:rPr>
        <w:t>net</w:t>
      </w:r>
      <w:r>
        <w:rPr>
          <w:spacing w:val="-1"/>
          <w:sz w:val="22"/>
        </w:rPr>
        <w:t> </w:t>
      </w:r>
      <w:r>
        <w:rPr>
          <w:sz w:val="22"/>
        </w:rPr>
        <w:t>result</w:t>
      </w:r>
      <w:r>
        <w:rPr>
          <w:spacing w:val="-1"/>
          <w:sz w:val="22"/>
        </w:rPr>
        <w:t> </w:t>
      </w:r>
      <w:r>
        <w:rPr>
          <w:sz w:val="22"/>
        </w:rPr>
        <w:t>of</w:t>
      </w:r>
      <w:r>
        <w:rPr>
          <w:spacing w:val="-4"/>
          <w:sz w:val="22"/>
        </w:rPr>
        <w:t> </w:t>
      </w:r>
      <w:r>
        <w:rPr>
          <w:sz w:val="22"/>
        </w:rPr>
        <w:t>these</w:t>
      </w:r>
      <w:r>
        <w:rPr>
          <w:spacing w:val="-3"/>
          <w:sz w:val="22"/>
        </w:rPr>
        <w:t> </w:t>
      </w:r>
      <w:r>
        <w:rPr>
          <w:sz w:val="22"/>
        </w:rPr>
        <w:t>data</w:t>
      </w:r>
      <w:r>
        <w:rPr>
          <w:spacing w:val="-3"/>
          <w:sz w:val="22"/>
        </w:rPr>
        <w:t> </w:t>
      </w:r>
      <w:r>
        <w:rPr>
          <w:sz w:val="22"/>
        </w:rPr>
        <w:t>integrity</w:t>
      </w:r>
      <w:r>
        <w:rPr>
          <w:spacing w:val="-3"/>
          <w:sz w:val="22"/>
        </w:rPr>
        <w:t> </w:t>
      </w:r>
      <w:r>
        <w:rPr>
          <w:sz w:val="22"/>
        </w:rPr>
        <w:t>issues</w:t>
      </w:r>
      <w:r>
        <w:rPr>
          <w:spacing w:val="-5"/>
          <w:sz w:val="22"/>
        </w:rPr>
        <w:t> </w:t>
      </w:r>
      <w:r>
        <w:rPr>
          <w:sz w:val="22"/>
        </w:rPr>
        <w:t>was</w:t>
      </w:r>
      <w:r>
        <w:rPr>
          <w:spacing w:val="-4"/>
          <w:sz w:val="22"/>
        </w:rPr>
        <w:t> </w:t>
      </w:r>
      <w:r>
        <w:rPr>
          <w:sz w:val="22"/>
        </w:rPr>
        <w:t>an</w:t>
      </w:r>
      <w:r>
        <w:rPr>
          <w:spacing w:val="-2"/>
          <w:sz w:val="22"/>
        </w:rPr>
        <w:t> </w:t>
      </w:r>
      <w:r>
        <w:rPr>
          <w:sz w:val="22"/>
        </w:rPr>
        <w:t>overcount</w:t>
      </w:r>
      <w:r>
        <w:rPr>
          <w:spacing w:val="-3"/>
          <w:sz w:val="22"/>
        </w:rPr>
        <w:t> </w:t>
      </w:r>
      <w:r>
        <w:rPr>
          <w:sz w:val="22"/>
        </w:rPr>
        <w:t>of</w:t>
      </w:r>
      <w:r>
        <w:rPr>
          <w:spacing w:val="-2"/>
          <w:sz w:val="22"/>
        </w:rPr>
        <w:t> </w:t>
      </w:r>
      <w:r>
        <w:rPr>
          <w:sz w:val="22"/>
        </w:rPr>
        <w:t>PALM</w:t>
      </w:r>
      <w:r>
        <w:rPr>
          <w:spacing w:val="-5"/>
          <w:sz w:val="22"/>
        </w:rPr>
        <w:t> </w:t>
      </w:r>
      <w:r>
        <w:rPr>
          <w:sz w:val="22"/>
        </w:rPr>
        <w:t>workers.</w:t>
      </w:r>
      <w:r>
        <w:rPr>
          <w:spacing w:val="-1"/>
          <w:sz w:val="22"/>
        </w:rPr>
        <w:t> </w:t>
      </w:r>
      <w:r>
        <w:rPr>
          <w:sz w:val="22"/>
        </w:rPr>
        <w:t>The</w:t>
      </w:r>
      <w:r>
        <w:rPr>
          <w:spacing w:val="-3"/>
          <w:sz w:val="22"/>
        </w:rPr>
        <w:t> </w:t>
      </w:r>
      <w:r>
        <w:rPr>
          <w:sz w:val="22"/>
        </w:rPr>
        <w:t>revised calculations</w:t>
      </w:r>
      <w:r>
        <w:rPr>
          <w:spacing w:val="-2"/>
          <w:sz w:val="22"/>
        </w:rPr>
        <w:t> </w:t>
      </w:r>
      <w:r>
        <w:rPr>
          <w:sz w:val="22"/>
        </w:rPr>
        <w:t>do</w:t>
      </w:r>
      <w:r>
        <w:rPr>
          <w:spacing w:val="-2"/>
          <w:sz w:val="22"/>
        </w:rPr>
        <w:t> </w:t>
      </w:r>
      <w:r>
        <w:rPr>
          <w:sz w:val="22"/>
        </w:rPr>
        <w:t>not reflect</w:t>
      </w:r>
      <w:r>
        <w:rPr>
          <w:spacing w:val="-2"/>
          <w:sz w:val="22"/>
        </w:rPr>
        <w:t> </w:t>
      </w:r>
      <w:r>
        <w:rPr>
          <w:sz w:val="22"/>
        </w:rPr>
        <w:t>a</w:t>
      </w:r>
      <w:r>
        <w:rPr>
          <w:spacing w:val="-2"/>
          <w:sz w:val="22"/>
        </w:rPr>
        <w:t> </w:t>
      </w:r>
      <w:r>
        <w:rPr>
          <w:sz w:val="22"/>
        </w:rPr>
        <w:t>fall</w:t>
      </w:r>
      <w:r>
        <w:rPr>
          <w:spacing w:val="-2"/>
          <w:sz w:val="22"/>
        </w:rPr>
        <w:t> </w:t>
      </w:r>
      <w:r>
        <w:rPr>
          <w:sz w:val="22"/>
        </w:rPr>
        <w:t>in</w:t>
      </w:r>
      <w:r>
        <w:rPr>
          <w:spacing w:val="-4"/>
          <w:sz w:val="22"/>
        </w:rPr>
        <w:t> </w:t>
      </w:r>
      <w:r>
        <w:rPr>
          <w:sz w:val="22"/>
        </w:rPr>
        <w:t>the</w:t>
      </w:r>
      <w:r>
        <w:rPr>
          <w:spacing w:val="-2"/>
          <w:sz w:val="22"/>
        </w:rPr>
        <w:t> </w:t>
      </w:r>
      <w:r>
        <w:rPr>
          <w:sz w:val="22"/>
        </w:rPr>
        <w:t>number</w:t>
      </w:r>
      <w:r>
        <w:rPr>
          <w:spacing w:val="-3"/>
          <w:sz w:val="22"/>
        </w:rPr>
        <w:t> </w:t>
      </w:r>
      <w:r>
        <w:rPr>
          <w:sz w:val="22"/>
        </w:rPr>
        <w:t>of</w:t>
      </w:r>
      <w:r>
        <w:rPr>
          <w:spacing w:val="-1"/>
          <w:sz w:val="22"/>
        </w:rPr>
        <w:t> </w:t>
      </w:r>
      <w:r>
        <w:rPr>
          <w:sz w:val="22"/>
        </w:rPr>
        <w:t>actual</w:t>
      </w:r>
      <w:r>
        <w:rPr>
          <w:spacing w:val="-1"/>
          <w:sz w:val="22"/>
        </w:rPr>
        <w:t> </w:t>
      </w:r>
      <w:r>
        <w:rPr>
          <w:sz w:val="22"/>
        </w:rPr>
        <w:t>workers</w:t>
      </w:r>
      <w:r>
        <w:rPr>
          <w:spacing w:val="-1"/>
          <w:sz w:val="22"/>
        </w:rPr>
        <w:t> </w:t>
      </w:r>
      <w:r>
        <w:rPr>
          <w:sz w:val="22"/>
        </w:rPr>
        <w:t>employed</w:t>
      </w:r>
      <w:r>
        <w:rPr>
          <w:spacing w:val="-2"/>
          <w:sz w:val="22"/>
        </w:rPr>
        <w:t> </w:t>
      </w:r>
      <w:r>
        <w:rPr>
          <w:sz w:val="22"/>
        </w:rPr>
        <w:t>under the</w:t>
      </w:r>
      <w:r>
        <w:rPr>
          <w:spacing w:val="-4"/>
          <w:sz w:val="22"/>
        </w:rPr>
        <w:t> </w:t>
      </w:r>
      <w:r>
        <w:rPr>
          <w:sz w:val="22"/>
        </w:rPr>
        <w:t>PALM scheme or a sudden decrease in demand.</w:t>
      </w:r>
    </w:p>
    <w:p>
      <w:pPr>
        <w:pStyle w:val="BodyText"/>
        <w:spacing w:before="105"/>
        <w:rPr>
          <w:sz w:val="22"/>
        </w:rPr>
      </w:pPr>
    </w:p>
    <w:p>
      <w:pPr>
        <w:pStyle w:val="Heading2"/>
      </w:pPr>
      <w:r>
        <w:rPr>
          <w:color w:val="242A82"/>
        </w:rPr>
        <w:t>Improved</w:t>
      </w:r>
      <w:r>
        <w:rPr>
          <w:color w:val="242A82"/>
          <w:spacing w:val="-8"/>
        </w:rPr>
        <w:t> </w:t>
      </w:r>
      <w:bookmarkStart w:name="_bookmark0" w:id="1"/>
      <w:bookmarkEnd w:id="1"/>
      <w:r>
        <w:rPr>
          <w:color w:val="242A82"/>
          <w:spacing w:val="-2"/>
        </w:rPr>
        <w:t>m</w:t>
      </w:r>
      <w:r>
        <w:rPr>
          <w:color w:val="242A82"/>
          <w:spacing w:val="-2"/>
        </w:rPr>
        <w:t>ethodology</w:t>
      </w:r>
    </w:p>
    <w:p>
      <w:pPr>
        <w:spacing w:before="121"/>
        <w:ind w:left="115" w:right="641" w:firstLine="0"/>
        <w:jc w:val="left"/>
        <w:rPr>
          <w:sz w:val="22"/>
        </w:rPr>
      </w:pPr>
      <w:r>
        <w:rPr>
          <w:sz w:val="22"/>
        </w:rPr>
        <w:t>While</w:t>
      </w:r>
      <w:r>
        <w:rPr>
          <w:spacing w:val="-3"/>
          <w:sz w:val="22"/>
        </w:rPr>
        <w:t> </w:t>
      </w:r>
      <w:r>
        <w:rPr>
          <w:sz w:val="22"/>
        </w:rPr>
        <w:t>the</w:t>
      </w:r>
      <w:r>
        <w:rPr>
          <w:spacing w:val="-3"/>
          <w:sz w:val="22"/>
        </w:rPr>
        <w:t> </w:t>
      </w:r>
      <w:r>
        <w:rPr>
          <w:sz w:val="22"/>
        </w:rPr>
        <w:t>factors</w:t>
      </w:r>
      <w:r>
        <w:rPr>
          <w:spacing w:val="-3"/>
          <w:sz w:val="22"/>
        </w:rPr>
        <w:t> </w:t>
      </w:r>
      <w:r>
        <w:rPr>
          <w:sz w:val="22"/>
        </w:rPr>
        <w:t>that</w:t>
      </w:r>
      <w:r>
        <w:rPr>
          <w:spacing w:val="-3"/>
          <w:sz w:val="22"/>
        </w:rPr>
        <w:t> </w:t>
      </w:r>
      <w:r>
        <w:rPr>
          <w:sz w:val="22"/>
        </w:rPr>
        <w:t>contributed</w:t>
      </w:r>
      <w:r>
        <w:rPr>
          <w:spacing w:val="-4"/>
          <w:sz w:val="22"/>
        </w:rPr>
        <w:t> </w:t>
      </w:r>
      <w:r>
        <w:rPr>
          <w:sz w:val="22"/>
        </w:rPr>
        <w:t>to</w:t>
      </w:r>
      <w:r>
        <w:rPr>
          <w:spacing w:val="-4"/>
          <w:sz w:val="22"/>
        </w:rPr>
        <w:t> </w:t>
      </w:r>
      <w:r>
        <w:rPr>
          <w:sz w:val="22"/>
        </w:rPr>
        <w:t>the</w:t>
      </w:r>
      <w:r>
        <w:rPr>
          <w:spacing w:val="-3"/>
          <w:sz w:val="22"/>
        </w:rPr>
        <w:t> </w:t>
      </w:r>
      <w:r>
        <w:rPr>
          <w:sz w:val="22"/>
        </w:rPr>
        <w:t>miscalculation</w:t>
      </w:r>
      <w:r>
        <w:rPr>
          <w:spacing w:val="-2"/>
          <w:sz w:val="22"/>
        </w:rPr>
        <w:t> </w:t>
      </w:r>
      <w:r>
        <w:rPr>
          <w:sz w:val="22"/>
        </w:rPr>
        <w:t>are</w:t>
      </w:r>
      <w:r>
        <w:rPr>
          <w:spacing w:val="-4"/>
          <w:sz w:val="22"/>
        </w:rPr>
        <w:t> </w:t>
      </w:r>
      <w:r>
        <w:rPr>
          <w:sz w:val="22"/>
        </w:rPr>
        <w:t>inter-related,</w:t>
      </w:r>
      <w:r>
        <w:rPr>
          <w:spacing w:val="-2"/>
          <w:sz w:val="22"/>
        </w:rPr>
        <w:t> </w:t>
      </w:r>
      <w:r>
        <w:rPr>
          <w:sz w:val="22"/>
        </w:rPr>
        <w:t>the</w:t>
      </w:r>
      <w:r>
        <w:rPr>
          <w:spacing w:val="-4"/>
          <w:sz w:val="22"/>
        </w:rPr>
        <w:t> </w:t>
      </w:r>
      <w:r>
        <w:rPr>
          <w:sz w:val="22"/>
        </w:rPr>
        <w:t>largest</w:t>
      </w:r>
      <w:r>
        <w:rPr>
          <w:spacing w:val="-3"/>
          <w:sz w:val="22"/>
        </w:rPr>
        <w:t> </w:t>
      </w:r>
      <w:r>
        <w:rPr>
          <w:sz w:val="22"/>
        </w:rPr>
        <w:t>single contributor to the revisions is improving the handling of </w:t>
      </w:r>
      <w:hyperlink w:history="true" w:anchor="_bookmark0">
        <w:r>
          <w:rPr>
            <w:sz w:val="22"/>
          </w:rPr>
          <w:t>offshore workers</w:t>
        </w:r>
      </w:hyperlink>
      <w:r>
        <w:rPr>
          <w:sz w:val="22"/>
        </w:rPr>
        <w:t>. The new methodology corrects the issues identified by the review by matching Department of Home</w:t>
      </w:r>
    </w:p>
    <w:p>
      <w:pPr>
        <w:pStyle w:val="BodyText"/>
        <w:rPr>
          <w:sz w:val="16"/>
        </w:rPr>
      </w:pPr>
    </w:p>
    <w:p>
      <w:pPr>
        <w:pStyle w:val="BodyText"/>
        <w:rPr>
          <w:sz w:val="16"/>
        </w:rPr>
      </w:pPr>
    </w:p>
    <w:p>
      <w:pPr>
        <w:pStyle w:val="BodyText"/>
        <w:rPr>
          <w:sz w:val="16"/>
        </w:rPr>
      </w:pPr>
    </w:p>
    <w:p>
      <w:pPr>
        <w:pStyle w:val="BodyText"/>
        <w:spacing w:before="28"/>
        <w:rPr>
          <w:sz w:val="16"/>
        </w:rPr>
      </w:pPr>
    </w:p>
    <w:p>
      <w:pPr>
        <w:spacing w:line="185" w:lineRule="exact" w:before="0"/>
        <w:ind w:left="9556" w:right="0" w:firstLine="0"/>
        <w:jc w:val="left"/>
        <w:rPr>
          <w:sz w:val="16"/>
        </w:rPr>
      </w:pPr>
      <w:r>
        <w:rPr>
          <w:color w:val="242A82"/>
          <w:spacing w:val="-10"/>
          <w:sz w:val="16"/>
        </w:rPr>
        <w:t>1</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type w:val="continuous"/>
          <w:pgSz w:w="11910" w:h="16840"/>
          <w:pgMar w:top="1160" w:bottom="280" w:left="1133" w:right="566"/>
        </w:sectPr>
      </w:pPr>
    </w:p>
    <w:p>
      <w:pPr>
        <w:spacing w:before="89"/>
        <w:ind w:left="115" w:right="607" w:firstLine="0"/>
        <w:jc w:val="left"/>
        <w:rPr>
          <w:sz w:val="22"/>
        </w:rPr>
      </w:pPr>
      <w:r>
        <w:rPr>
          <w:sz w:val="22"/>
        </w:rPr>
        <w:drawing>
          <wp:anchor distT="0" distB="0" distL="0" distR="0" allowOverlap="1" layoutInCell="1" locked="0" behindDoc="1" simplePos="0" relativeHeight="487224320">
            <wp:simplePos x="0" y="0"/>
            <wp:positionH relativeFrom="page">
              <wp:posOffset>0</wp:posOffset>
            </wp:positionH>
            <wp:positionV relativeFrom="page">
              <wp:posOffset>60</wp:posOffset>
            </wp:positionV>
            <wp:extent cx="7560564" cy="1065745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7560564" cy="10657459"/>
                    </a:xfrm>
                    <a:prstGeom prst="rect">
                      <a:avLst/>
                    </a:prstGeom>
                  </pic:spPr>
                </pic:pic>
              </a:graphicData>
            </a:graphic>
          </wp:anchor>
        </w:drawing>
      </w:r>
      <w:r>
        <w:rPr>
          <w:sz w:val="22"/>
        </w:rPr>
        <w:t>Affairs visa data with the department’s administrative data (stored in the PALMIS system) at</w:t>
      </w:r>
      <w:r>
        <w:rPr>
          <w:spacing w:val="40"/>
          <w:sz w:val="22"/>
        </w:rPr>
        <w:t> </w:t>
      </w:r>
      <w:r>
        <w:rPr>
          <w:sz w:val="22"/>
        </w:rPr>
        <w:t>the</w:t>
      </w:r>
      <w:r>
        <w:rPr>
          <w:spacing w:val="-1"/>
          <w:sz w:val="22"/>
        </w:rPr>
        <w:t> </w:t>
      </w:r>
      <w:r>
        <w:rPr>
          <w:sz w:val="22"/>
        </w:rPr>
        <w:t>unit</w:t>
      </w:r>
      <w:r>
        <w:rPr>
          <w:spacing w:val="-3"/>
          <w:sz w:val="22"/>
        </w:rPr>
        <w:t> </w:t>
      </w:r>
      <w:r>
        <w:rPr>
          <w:sz w:val="22"/>
        </w:rPr>
        <w:t>record</w:t>
      </w:r>
      <w:r>
        <w:rPr>
          <w:spacing w:val="-1"/>
          <w:sz w:val="22"/>
        </w:rPr>
        <w:t> </w:t>
      </w:r>
      <w:r>
        <w:rPr>
          <w:sz w:val="22"/>
        </w:rPr>
        <w:t>level.</w:t>
      </w:r>
      <w:r>
        <w:rPr>
          <w:spacing w:val="-2"/>
          <w:sz w:val="22"/>
        </w:rPr>
        <w:t> </w:t>
      </w:r>
      <w:r>
        <w:rPr>
          <w:sz w:val="22"/>
        </w:rPr>
        <w:t>The count</w:t>
      </w:r>
      <w:r>
        <w:rPr>
          <w:spacing w:val="-2"/>
          <w:sz w:val="22"/>
        </w:rPr>
        <w:t> </w:t>
      </w:r>
      <w:r>
        <w:rPr>
          <w:sz w:val="22"/>
        </w:rPr>
        <w:t>of</w:t>
      </w:r>
      <w:r>
        <w:rPr>
          <w:spacing w:val="-3"/>
          <w:sz w:val="22"/>
        </w:rPr>
        <w:t> </w:t>
      </w:r>
      <w:r>
        <w:rPr>
          <w:sz w:val="22"/>
        </w:rPr>
        <w:t>workers now</w:t>
      </w:r>
      <w:r>
        <w:rPr>
          <w:spacing w:val="-2"/>
          <w:sz w:val="22"/>
        </w:rPr>
        <w:t> </w:t>
      </w:r>
      <w:r>
        <w:rPr>
          <w:sz w:val="22"/>
        </w:rPr>
        <w:t>excludes</w:t>
      </w:r>
      <w:r>
        <w:rPr>
          <w:spacing w:val="-4"/>
          <w:sz w:val="22"/>
        </w:rPr>
        <w:t> </w:t>
      </w:r>
      <w:r>
        <w:rPr>
          <w:sz w:val="22"/>
        </w:rPr>
        <w:t>workers</w:t>
      </w:r>
      <w:r>
        <w:rPr>
          <w:spacing w:val="-3"/>
          <w:sz w:val="22"/>
        </w:rPr>
        <w:t> </w:t>
      </w:r>
      <w:r>
        <w:rPr>
          <w:sz w:val="22"/>
        </w:rPr>
        <w:t>who</w:t>
      </w:r>
      <w:r>
        <w:rPr>
          <w:spacing w:val="-2"/>
          <w:sz w:val="22"/>
        </w:rPr>
        <w:t> </w:t>
      </w:r>
      <w:r>
        <w:rPr>
          <w:sz w:val="22"/>
        </w:rPr>
        <w:t>are</w:t>
      </w:r>
      <w:r>
        <w:rPr>
          <w:spacing w:val="-1"/>
          <w:sz w:val="22"/>
        </w:rPr>
        <w:t> </w:t>
      </w:r>
      <w:r>
        <w:rPr>
          <w:sz w:val="22"/>
        </w:rPr>
        <w:t>shown</w:t>
      </w:r>
      <w:r>
        <w:rPr>
          <w:spacing w:val="-4"/>
          <w:sz w:val="22"/>
        </w:rPr>
        <w:t> </w:t>
      </w:r>
      <w:r>
        <w:rPr>
          <w:sz w:val="22"/>
        </w:rPr>
        <w:t>to</w:t>
      </w:r>
      <w:r>
        <w:rPr>
          <w:spacing w:val="-2"/>
          <w:sz w:val="22"/>
        </w:rPr>
        <w:t> </w:t>
      </w:r>
      <w:r>
        <w:rPr>
          <w:sz w:val="22"/>
        </w:rPr>
        <w:t>be</w:t>
      </w:r>
      <w:r>
        <w:rPr>
          <w:spacing w:val="-2"/>
          <w:sz w:val="22"/>
        </w:rPr>
        <w:t> </w:t>
      </w:r>
      <w:r>
        <w:rPr>
          <w:sz w:val="22"/>
        </w:rPr>
        <w:t>offshore in the visa data and also accurately accounts for workers that are onshore.</w:t>
      </w:r>
    </w:p>
    <w:p>
      <w:pPr>
        <w:spacing w:before="120"/>
        <w:ind w:left="115" w:right="567" w:firstLine="0"/>
        <w:jc w:val="left"/>
        <w:rPr>
          <w:sz w:val="22"/>
        </w:rPr>
      </w:pPr>
      <w:r>
        <w:rPr>
          <w:sz w:val="22"/>
        </w:rPr>
        <w:t>The new counts include workers who hold a PALM stream visa: the Temporary Work (International Relations) visa (subclass 403); or the COVID-19 Pandemic event (subclass 408) visa.</w:t>
      </w:r>
      <w:r>
        <w:rPr>
          <w:spacing w:val="-1"/>
          <w:sz w:val="22"/>
        </w:rPr>
        <w:t> </w:t>
      </w:r>
      <w:r>
        <w:rPr>
          <w:sz w:val="22"/>
        </w:rPr>
        <w:t>Detailed</w:t>
      </w:r>
      <w:r>
        <w:rPr>
          <w:spacing w:val="-3"/>
          <w:sz w:val="22"/>
        </w:rPr>
        <w:t> </w:t>
      </w:r>
      <w:r>
        <w:rPr>
          <w:sz w:val="22"/>
        </w:rPr>
        <w:t>information</w:t>
      </w:r>
      <w:r>
        <w:rPr>
          <w:spacing w:val="-2"/>
          <w:sz w:val="22"/>
        </w:rPr>
        <w:t> </w:t>
      </w:r>
      <w:r>
        <w:rPr>
          <w:sz w:val="22"/>
        </w:rPr>
        <w:t>for</w:t>
      </w:r>
      <w:r>
        <w:rPr>
          <w:spacing w:val="-1"/>
          <w:sz w:val="22"/>
        </w:rPr>
        <w:t> </w:t>
      </w:r>
      <w:r>
        <w:rPr>
          <w:sz w:val="22"/>
        </w:rPr>
        <w:t>408</w:t>
      </w:r>
      <w:r>
        <w:rPr>
          <w:spacing w:val="-2"/>
          <w:sz w:val="22"/>
        </w:rPr>
        <w:t> </w:t>
      </w:r>
      <w:r>
        <w:rPr>
          <w:sz w:val="22"/>
        </w:rPr>
        <w:t>visa</w:t>
      </w:r>
      <w:r>
        <w:rPr>
          <w:spacing w:val="-3"/>
          <w:sz w:val="22"/>
        </w:rPr>
        <w:t> </w:t>
      </w:r>
      <w:r>
        <w:rPr>
          <w:sz w:val="22"/>
        </w:rPr>
        <w:t>holders</w:t>
      </w:r>
      <w:r>
        <w:rPr>
          <w:spacing w:val="-2"/>
          <w:sz w:val="22"/>
        </w:rPr>
        <w:t> </w:t>
      </w:r>
      <w:r>
        <w:rPr>
          <w:sz w:val="22"/>
        </w:rPr>
        <w:t>is</w:t>
      </w:r>
      <w:r>
        <w:rPr>
          <w:spacing w:val="-7"/>
          <w:sz w:val="22"/>
        </w:rPr>
        <w:t> </w:t>
      </w:r>
      <w:r>
        <w:rPr>
          <w:sz w:val="22"/>
        </w:rPr>
        <w:t>not</w:t>
      </w:r>
      <w:r>
        <w:rPr>
          <w:spacing w:val="-1"/>
          <w:sz w:val="22"/>
        </w:rPr>
        <w:t> </w:t>
      </w:r>
      <w:r>
        <w:rPr>
          <w:sz w:val="22"/>
        </w:rPr>
        <w:t>available to</w:t>
      </w:r>
      <w:r>
        <w:rPr>
          <w:spacing w:val="-5"/>
          <w:sz w:val="22"/>
        </w:rPr>
        <w:t> </w:t>
      </w:r>
      <w:r>
        <w:rPr>
          <w:sz w:val="22"/>
        </w:rPr>
        <w:t>the</w:t>
      </w:r>
      <w:r>
        <w:rPr>
          <w:spacing w:val="-3"/>
          <w:sz w:val="22"/>
        </w:rPr>
        <w:t> </w:t>
      </w:r>
      <w:r>
        <w:rPr>
          <w:sz w:val="22"/>
        </w:rPr>
        <w:t>department</w:t>
      </w:r>
      <w:r>
        <w:rPr>
          <w:spacing w:val="-1"/>
          <w:sz w:val="22"/>
        </w:rPr>
        <w:t> </w:t>
      </w:r>
      <w:r>
        <w:rPr>
          <w:sz w:val="22"/>
        </w:rPr>
        <w:t>so</w:t>
      </w:r>
      <w:r>
        <w:rPr>
          <w:spacing w:val="-3"/>
          <w:sz w:val="22"/>
        </w:rPr>
        <w:t> </w:t>
      </w:r>
      <w:r>
        <w:rPr>
          <w:sz w:val="22"/>
        </w:rPr>
        <w:t>some</w:t>
      </w:r>
      <w:r>
        <w:rPr>
          <w:spacing w:val="-2"/>
          <w:sz w:val="22"/>
        </w:rPr>
        <w:t> </w:t>
      </w:r>
      <w:r>
        <w:rPr>
          <w:sz w:val="22"/>
        </w:rPr>
        <w:t>data tables, such as by state/territory, do not include PALM workers holding a 408 visa.</w:t>
      </w:r>
    </w:p>
    <w:p>
      <w:pPr>
        <w:spacing w:before="255"/>
        <w:ind w:left="115" w:right="567" w:firstLine="0"/>
        <w:jc w:val="left"/>
        <w:rPr>
          <w:sz w:val="22"/>
        </w:rPr>
      </w:pPr>
      <w:r>
        <w:rPr>
          <w:sz w:val="22"/>
        </w:rPr>
        <w:t>The department ceased reporting of worker data in March 2024, with February 2024 data being the final month prepared using the former (incorrect) approach. All worker estimates from March 2024 onwards are based only on the new methodology. To allow comparisons over time, the</w:t>
      </w:r>
      <w:r>
        <w:rPr>
          <w:spacing w:val="-4"/>
          <w:sz w:val="22"/>
        </w:rPr>
        <w:t> </w:t>
      </w:r>
      <w:r>
        <w:rPr>
          <w:sz w:val="22"/>
        </w:rPr>
        <w:t>department</w:t>
      </w:r>
      <w:r>
        <w:rPr>
          <w:spacing w:val="-4"/>
          <w:sz w:val="22"/>
        </w:rPr>
        <w:t> </w:t>
      </w:r>
      <w:r>
        <w:rPr>
          <w:sz w:val="22"/>
        </w:rPr>
        <w:t>recalculated</w:t>
      </w:r>
      <w:r>
        <w:rPr>
          <w:spacing w:val="-4"/>
          <w:sz w:val="22"/>
        </w:rPr>
        <w:t> </w:t>
      </w:r>
      <w:r>
        <w:rPr>
          <w:sz w:val="22"/>
        </w:rPr>
        <w:t>selected</w:t>
      </w:r>
      <w:r>
        <w:rPr>
          <w:spacing w:val="-4"/>
          <w:sz w:val="22"/>
        </w:rPr>
        <w:t> </w:t>
      </w:r>
      <w:r>
        <w:rPr>
          <w:sz w:val="22"/>
        </w:rPr>
        <w:t>historical</w:t>
      </w:r>
      <w:r>
        <w:rPr>
          <w:spacing w:val="-5"/>
          <w:sz w:val="22"/>
        </w:rPr>
        <w:t> </w:t>
      </w:r>
      <w:r>
        <w:rPr>
          <w:sz w:val="22"/>
        </w:rPr>
        <w:t>data</w:t>
      </w:r>
      <w:r>
        <w:rPr>
          <w:spacing w:val="-4"/>
          <w:sz w:val="22"/>
        </w:rPr>
        <w:t> </w:t>
      </w:r>
      <w:r>
        <w:rPr>
          <w:sz w:val="22"/>
        </w:rPr>
        <w:t>points</w:t>
      </w:r>
      <w:r>
        <w:rPr>
          <w:spacing w:val="-3"/>
          <w:sz w:val="22"/>
        </w:rPr>
        <w:t> </w:t>
      </w:r>
      <w:r>
        <w:rPr>
          <w:sz w:val="22"/>
        </w:rPr>
        <w:t>for</w:t>
      </w:r>
      <w:r>
        <w:rPr>
          <w:spacing w:val="-5"/>
          <w:sz w:val="22"/>
        </w:rPr>
        <w:t> </w:t>
      </w:r>
      <w:r>
        <w:rPr>
          <w:sz w:val="22"/>
        </w:rPr>
        <w:t>April</w:t>
      </w:r>
      <w:r>
        <w:rPr>
          <w:spacing w:val="-4"/>
          <w:sz w:val="22"/>
        </w:rPr>
        <w:t> </w:t>
      </w:r>
      <w:r>
        <w:rPr>
          <w:sz w:val="22"/>
        </w:rPr>
        <w:t>2022,</w:t>
      </w:r>
      <w:r>
        <w:rPr>
          <w:spacing w:val="-3"/>
          <w:sz w:val="22"/>
        </w:rPr>
        <w:t> </w:t>
      </w:r>
      <w:r>
        <w:rPr>
          <w:sz w:val="22"/>
        </w:rPr>
        <w:t>December</w:t>
      </w:r>
      <w:r>
        <w:rPr>
          <w:spacing w:val="-5"/>
          <w:sz w:val="22"/>
        </w:rPr>
        <w:t> </w:t>
      </w:r>
      <w:r>
        <w:rPr>
          <w:sz w:val="22"/>
        </w:rPr>
        <w:t>2022, and June 2023 to February 2024.</w:t>
      </w:r>
    </w:p>
    <w:p>
      <w:pPr>
        <w:spacing w:before="119"/>
        <w:ind w:left="115" w:right="567" w:firstLine="0"/>
        <w:jc w:val="left"/>
        <w:rPr>
          <w:sz w:val="22"/>
        </w:rPr>
      </w:pPr>
      <w:r>
        <w:rPr>
          <w:sz w:val="22"/>
        </w:rPr>
        <w:t>The new methodology has also helped quantify gaps in PALMIS data, such as delayed or inaccurate</w:t>
      </w:r>
      <w:r>
        <w:rPr>
          <w:spacing w:val="-3"/>
          <w:sz w:val="22"/>
        </w:rPr>
        <w:t> </w:t>
      </w:r>
      <w:r>
        <w:rPr>
          <w:sz w:val="22"/>
        </w:rPr>
        <w:t>reporting,</w:t>
      </w:r>
      <w:r>
        <w:rPr>
          <w:spacing w:val="-5"/>
          <w:sz w:val="22"/>
        </w:rPr>
        <w:t> </w:t>
      </w:r>
      <w:r>
        <w:rPr>
          <w:sz w:val="22"/>
        </w:rPr>
        <w:t>particularly</w:t>
      </w:r>
      <w:r>
        <w:rPr>
          <w:spacing w:val="-4"/>
          <w:sz w:val="22"/>
        </w:rPr>
        <w:t> </w:t>
      </w:r>
      <w:r>
        <w:rPr>
          <w:sz w:val="22"/>
        </w:rPr>
        <w:t>by</w:t>
      </w:r>
      <w:r>
        <w:rPr>
          <w:spacing w:val="-4"/>
          <w:sz w:val="22"/>
        </w:rPr>
        <w:t> </w:t>
      </w:r>
      <w:r>
        <w:rPr>
          <w:sz w:val="22"/>
        </w:rPr>
        <w:t>employers.</w:t>
      </w:r>
      <w:r>
        <w:rPr>
          <w:spacing w:val="-5"/>
          <w:sz w:val="22"/>
        </w:rPr>
        <w:t> </w:t>
      </w:r>
      <w:r>
        <w:rPr>
          <w:sz w:val="22"/>
        </w:rPr>
        <w:t>The</w:t>
      </w:r>
      <w:r>
        <w:rPr>
          <w:spacing w:val="-4"/>
          <w:sz w:val="22"/>
        </w:rPr>
        <w:t> </w:t>
      </w:r>
      <w:r>
        <w:rPr>
          <w:sz w:val="22"/>
        </w:rPr>
        <w:t>department</w:t>
      </w:r>
      <w:r>
        <w:rPr>
          <w:spacing w:val="-4"/>
          <w:sz w:val="22"/>
        </w:rPr>
        <w:t> </w:t>
      </w:r>
      <w:r>
        <w:rPr>
          <w:sz w:val="22"/>
        </w:rPr>
        <w:t>has</w:t>
      </w:r>
      <w:r>
        <w:rPr>
          <w:spacing w:val="-3"/>
          <w:sz w:val="22"/>
        </w:rPr>
        <w:t> </w:t>
      </w:r>
      <w:r>
        <w:rPr>
          <w:sz w:val="22"/>
        </w:rPr>
        <w:t>commenced</w:t>
      </w:r>
      <w:r>
        <w:rPr>
          <w:spacing w:val="-4"/>
          <w:sz w:val="22"/>
        </w:rPr>
        <w:t> </w:t>
      </w:r>
      <w:r>
        <w:rPr>
          <w:sz w:val="22"/>
        </w:rPr>
        <w:t>an</w:t>
      </w:r>
      <w:r>
        <w:rPr>
          <w:spacing w:val="-3"/>
          <w:sz w:val="22"/>
        </w:rPr>
        <w:t> </w:t>
      </w:r>
      <w:r>
        <w:rPr>
          <w:sz w:val="22"/>
        </w:rPr>
        <w:t>intensive education and enforcement program to improve reporting accuracy and timeliness.</w:t>
      </w:r>
    </w:p>
    <w:p>
      <w:pPr>
        <w:pStyle w:val="BodyText"/>
        <w:spacing w:before="107"/>
        <w:rPr>
          <w:sz w:val="22"/>
        </w:rPr>
      </w:pPr>
    </w:p>
    <w:p>
      <w:pPr>
        <w:pStyle w:val="Heading2"/>
      </w:pPr>
      <w:r>
        <w:rPr>
          <w:color w:val="242A82"/>
        </w:rPr>
        <w:t>Publication</w:t>
      </w:r>
      <w:r>
        <w:rPr>
          <w:color w:val="242A82"/>
          <w:spacing w:val="-9"/>
        </w:rPr>
        <w:t> </w:t>
      </w:r>
      <w:r>
        <w:rPr>
          <w:color w:val="242A82"/>
        </w:rPr>
        <w:t>of</w:t>
      </w:r>
      <w:r>
        <w:rPr>
          <w:color w:val="242A82"/>
          <w:spacing w:val="-6"/>
        </w:rPr>
        <w:t> </w:t>
      </w:r>
      <w:r>
        <w:rPr>
          <w:color w:val="242A82"/>
          <w:spacing w:val="-4"/>
        </w:rPr>
        <w:t>data</w:t>
      </w:r>
    </w:p>
    <w:p>
      <w:pPr>
        <w:spacing w:before="119"/>
        <w:ind w:left="115" w:right="641" w:firstLine="0"/>
        <w:jc w:val="left"/>
        <w:rPr>
          <w:sz w:val="22"/>
        </w:rPr>
      </w:pPr>
      <w:r>
        <w:rPr>
          <w:sz w:val="22"/>
        </w:rPr>
        <w:t>Data for January to June 2024 were published on 31 July 2024, marking the first regular monthly</w:t>
      </w:r>
      <w:r>
        <w:rPr>
          <w:spacing w:val="-3"/>
          <w:sz w:val="22"/>
        </w:rPr>
        <w:t> </w:t>
      </w:r>
      <w:r>
        <w:rPr>
          <w:sz w:val="22"/>
        </w:rPr>
        <w:t>reporting</w:t>
      </w:r>
      <w:r>
        <w:rPr>
          <w:spacing w:val="-5"/>
          <w:sz w:val="22"/>
        </w:rPr>
        <w:t> </w:t>
      </w:r>
      <w:r>
        <w:rPr>
          <w:sz w:val="22"/>
        </w:rPr>
        <w:t>of</w:t>
      </w:r>
      <w:r>
        <w:rPr>
          <w:spacing w:val="-3"/>
          <w:sz w:val="22"/>
        </w:rPr>
        <w:t> </w:t>
      </w:r>
      <w:r>
        <w:rPr>
          <w:sz w:val="22"/>
        </w:rPr>
        <w:t>PALM</w:t>
      </w:r>
      <w:r>
        <w:rPr>
          <w:spacing w:val="-3"/>
          <w:sz w:val="22"/>
        </w:rPr>
        <w:t> </w:t>
      </w:r>
      <w:r>
        <w:rPr>
          <w:sz w:val="22"/>
        </w:rPr>
        <w:t>scheme</w:t>
      </w:r>
      <w:r>
        <w:rPr>
          <w:spacing w:val="-5"/>
          <w:sz w:val="22"/>
        </w:rPr>
        <w:t> </w:t>
      </w:r>
      <w:r>
        <w:rPr>
          <w:sz w:val="22"/>
        </w:rPr>
        <w:t>data.</w:t>
      </w:r>
      <w:r>
        <w:rPr>
          <w:spacing w:val="-2"/>
          <w:sz w:val="22"/>
        </w:rPr>
        <w:t> </w:t>
      </w:r>
      <w:r>
        <w:rPr>
          <w:sz w:val="22"/>
        </w:rPr>
        <w:t>Data</w:t>
      </w:r>
      <w:r>
        <w:rPr>
          <w:spacing w:val="-3"/>
          <w:sz w:val="22"/>
        </w:rPr>
        <w:t> </w:t>
      </w:r>
      <w:r>
        <w:rPr>
          <w:sz w:val="22"/>
        </w:rPr>
        <w:t>for</w:t>
      </w:r>
      <w:r>
        <w:rPr>
          <w:spacing w:val="-2"/>
          <w:sz w:val="22"/>
        </w:rPr>
        <w:t> </w:t>
      </w:r>
      <w:r>
        <w:rPr>
          <w:sz w:val="22"/>
        </w:rPr>
        <w:t>the</w:t>
      </w:r>
      <w:r>
        <w:rPr>
          <w:spacing w:val="-5"/>
          <w:sz w:val="22"/>
        </w:rPr>
        <w:t> </w:t>
      </w:r>
      <w:r>
        <w:rPr>
          <w:sz w:val="22"/>
        </w:rPr>
        <w:t>historical</w:t>
      </w:r>
      <w:r>
        <w:rPr>
          <w:spacing w:val="-3"/>
          <w:sz w:val="22"/>
        </w:rPr>
        <w:t> </w:t>
      </w:r>
      <w:r>
        <w:rPr>
          <w:sz w:val="22"/>
        </w:rPr>
        <w:t>recalculated</w:t>
      </w:r>
      <w:r>
        <w:rPr>
          <w:spacing w:val="-3"/>
          <w:sz w:val="22"/>
        </w:rPr>
        <w:t> </w:t>
      </w:r>
      <w:r>
        <w:rPr>
          <w:sz w:val="22"/>
        </w:rPr>
        <w:t>periods</w:t>
      </w:r>
      <w:r>
        <w:rPr>
          <w:spacing w:val="-3"/>
          <w:sz w:val="22"/>
        </w:rPr>
        <w:t> </w:t>
      </w:r>
      <w:r>
        <w:rPr>
          <w:sz w:val="22"/>
        </w:rPr>
        <w:t>(April 2022,</w:t>
      </w:r>
      <w:r>
        <w:rPr>
          <w:spacing w:val="-6"/>
          <w:sz w:val="22"/>
        </w:rPr>
        <w:t> </w:t>
      </w:r>
      <w:r>
        <w:rPr>
          <w:sz w:val="22"/>
        </w:rPr>
        <w:t>December</w:t>
      </w:r>
      <w:r>
        <w:rPr>
          <w:spacing w:val="-3"/>
          <w:sz w:val="22"/>
        </w:rPr>
        <w:t> </w:t>
      </w:r>
      <w:r>
        <w:rPr>
          <w:sz w:val="22"/>
        </w:rPr>
        <w:t>2022</w:t>
      </w:r>
      <w:r>
        <w:rPr>
          <w:spacing w:val="-6"/>
          <w:sz w:val="22"/>
        </w:rPr>
        <w:t> </w:t>
      </w:r>
      <w:r>
        <w:rPr>
          <w:sz w:val="22"/>
        </w:rPr>
        <w:t>and</w:t>
      </w:r>
      <w:r>
        <w:rPr>
          <w:spacing w:val="-4"/>
          <w:sz w:val="22"/>
        </w:rPr>
        <w:t> </w:t>
      </w:r>
      <w:r>
        <w:rPr>
          <w:sz w:val="22"/>
        </w:rPr>
        <w:t>June</w:t>
      </w:r>
      <w:r>
        <w:rPr>
          <w:spacing w:val="-5"/>
          <w:sz w:val="22"/>
        </w:rPr>
        <w:t> </w:t>
      </w:r>
      <w:r>
        <w:rPr>
          <w:sz w:val="22"/>
        </w:rPr>
        <w:t>to</w:t>
      </w:r>
      <w:r>
        <w:rPr>
          <w:spacing w:val="-7"/>
          <w:sz w:val="22"/>
        </w:rPr>
        <w:t> </w:t>
      </w:r>
      <w:r>
        <w:rPr>
          <w:sz w:val="22"/>
        </w:rPr>
        <w:t>December</w:t>
      </w:r>
      <w:r>
        <w:rPr>
          <w:spacing w:val="-6"/>
          <w:sz w:val="22"/>
        </w:rPr>
        <w:t> </w:t>
      </w:r>
      <w:r>
        <w:rPr>
          <w:sz w:val="22"/>
        </w:rPr>
        <w:t>2023)</w:t>
      </w:r>
      <w:r>
        <w:rPr>
          <w:spacing w:val="-4"/>
          <w:sz w:val="22"/>
        </w:rPr>
        <w:t> </w:t>
      </w:r>
      <w:r>
        <w:rPr>
          <w:sz w:val="22"/>
        </w:rPr>
        <w:t>were</w:t>
      </w:r>
      <w:r>
        <w:rPr>
          <w:spacing w:val="-4"/>
          <w:sz w:val="22"/>
        </w:rPr>
        <w:t> </w:t>
      </w:r>
      <w:r>
        <w:rPr>
          <w:sz w:val="22"/>
        </w:rPr>
        <w:t>published</w:t>
      </w:r>
      <w:r>
        <w:rPr>
          <w:spacing w:val="-4"/>
          <w:sz w:val="22"/>
        </w:rPr>
        <w:t> </w:t>
      </w:r>
      <w:r>
        <w:rPr>
          <w:sz w:val="22"/>
        </w:rPr>
        <w:t>on</w:t>
      </w:r>
      <w:r>
        <w:rPr>
          <w:spacing w:val="-5"/>
          <w:sz w:val="22"/>
        </w:rPr>
        <w:t> </w:t>
      </w:r>
      <w:r>
        <w:rPr>
          <w:sz w:val="22"/>
        </w:rPr>
        <w:t>30</w:t>
      </w:r>
      <w:r>
        <w:rPr>
          <w:spacing w:val="-7"/>
          <w:sz w:val="22"/>
        </w:rPr>
        <w:t> </w:t>
      </w:r>
      <w:r>
        <w:rPr>
          <w:sz w:val="22"/>
        </w:rPr>
        <w:t>September</w:t>
      </w:r>
      <w:r>
        <w:rPr>
          <w:spacing w:val="-3"/>
          <w:sz w:val="22"/>
        </w:rPr>
        <w:t> </w:t>
      </w:r>
      <w:r>
        <w:rPr>
          <w:spacing w:val="-2"/>
          <w:sz w:val="22"/>
        </w:rPr>
        <w:t>2024.</w:t>
      </w:r>
    </w:p>
    <w:p>
      <w:pPr>
        <w:spacing w:before="119"/>
        <w:ind w:left="115" w:right="0" w:firstLine="0"/>
        <w:jc w:val="left"/>
        <w:rPr>
          <w:sz w:val="20"/>
        </w:rPr>
      </w:pPr>
      <w:r>
        <w:rPr>
          <w:sz w:val="22"/>
        </w:rPr>
        <w:t>PALM</w:t>
      </w:r>
      <w:r>
        <w:rPr>
          <w:spacing w:val="-9"/>
          <w:sz w:val="22"/>
        </w:rPr>
        <w:t> </w:t>
      </w:r>
      <w:r>
        <w:rPr>
          <w:sz w:val="22"/>
        </w:rPr>
        <w:t>data</w:t>
      </w:r>
      <w:r>
        <w:rPr>
          <w:spacing w:val="-9"/>
          <w:sz w:val="22"/>
        </w:rPr>
        <w:t> </w:t>
      </w:r>
      <w:r>
        <w:rPr>
          <w:sz w:val="22"/>
        </w:rPr>
        <w:t>are</w:t>
      </w:r>
      <w:r>
        <w:rPr>
          <w:spacing w:val="-7"/>
          <w:sz w:val="22"/>
        </w:rPr>
        <w:t> </w:t>
      </w:r>
      <w:r>
        <w:rPr>
          <w:sz w:val="22"/>
        </w:rPr>
        <w:t>available</w:t>
      </w:r>
      <w:r>
        <w:rPr>
          <w:spacing w:val="-11"/>
          <w:sz w:val="22"/>
        </w:rPr>
        <w:t> </w:t>
      </w:r>
      <w:r>
        <w:rPr>
          <w:sz w:val="22"/>
        </w:rPr>
        <w:t>on</w:t>
      </w:r>
      <w:r>
        <w:rPr>
          <w:spacing w:val="-9"/>
          <w:sz w:val="22"/>
        </w:rPr>
        <w:t> </w:t>
      </w:r>
      <w:r>
        <w:rPr>
          <w:sz w:val="22"/>
        </w:rPr>
        <w:t>the</w:t>
      </w:r>
      <w:r>
        <w:rPr>
          <w:spacing w:val="-9"/>
          <w:sz w:val="22"/>
        </w:rPr>
        <w:t> </w:t>
      </w:r>
      <w:r>
        <w:rPr>
          <w:sz w:val="22"/>
        </w:rPr>
        <w:t>PALM</w:t>
      </w:r>
      <w:r>
        <w:rPr>
          <w:spacing w:val="-11"/>
          <w:sz w:val="22"/>
        </w:rPr>
        <w:t> </w:t>
      </w:r>
      <w:r>
        <w:rPr>
          <w:sz w:val="22"/>
        </w:rPr>
        <w:t>scheme</w:t>
      </w:r>
      <w:r>
        <w:rPr>
          <w:spacing w:val="-10"/>
          <w:sz w:val="22"/>
        </w:rPr>
        <w:t> </w:t>
      </w:r>
      <w:r>
        <w:rPr>
          <w:sz w:val="22"/>
        </w:rPr>
        <w:t>website</w:t>
      </w:r>
      <w:r>
        <w:rPr>
          <w:sz w:val="20"/>
        </w:rPr>
        <w:t>:</w:t>
      </w:r>
      <w:r>
        <w:rPr>
          <w:spacing w:val="-7"/>
          <w:sz w:val="20"/>
        </w:rPr>
        <w:t> </w:t>
      </w:r>
      <w:hyperlink r:id="rId7">
        <w:r>
          <w:rPr>
            <w:color w:val="009CCC"/>
            <w:sz w:val="20"/>
            <w:u w:val="single" w:color="009CCC"/>
          </w:rPr>
          <w:t>www.palmscheme.gov.au/palm-scheme-</w:t>
        </w:r>
        <w:r>
          <w:rPr>
            <w:color w:val="009CCC"/>
            <w:spacing w:val="-2"/>
            <w:sz w:val="20"/>
            <w:u w:val="single" w:color="009CCC"/>
          </w:rPr>
          <w:t>data</w:t>
        </w:r>
      </w:hyperlink>
      <w:r>
        <w:rPr>
          <w:spacing w:val="-2"/>
          <w:sz w:val="20"/>
          <w:u w:val="none"/>
        </w:rPr>
        <w:t>.</w:t>
      </w:r>
    </w:p>
    <w:p>
      <w:pPr>
        <w:pStyle w:val="BodyText"/>
        <w:spacing w:before="158"/>
        <w:rPr>
          <w:sz w:val="28"/>
        </w:rPr>
      </w:pPr>
    </w:p>
    <w:p>
      <w:pPr>
        <w:pStyle w:val="Heading1"/>
        <w:numPr>
          <w:ilvl w:val="0"/>
          <w:numId w:val="1"/>
        </w:numPr>
        <w:tabs>
          <w:tab w:pos="541" w:val="left" w:leader="none"/>
        </w:tabs>
        <w:spacing w:line="240" w:lineRule="auto" w:before="0" w:after="0"/>
        <w:ind w:left="541" w:right="0" w:hanging="426"/>
        <w:jc w:val="left"/>
      </w:pPr>
      <w:r>
        <w:rPr>
          <w:color w:val="242A82"/>
        </w:rPr>
        <w:t>PALM</w:t>
      </w:r>
      <w:r>
        <w:rPr>
          <w:color w:val="242A82"/>
          <w:spacing w:val="-3"/>
        </w:rPr>
        <w:t> </w:t>
      </w:r>
      <w:r>
        <w:rPr>
          <w:color w:val="242A82"/>
        </w:rPr>
        <w:t>scheme</w:t>
      </w:r>
      <w:r>
        <w:rPr>
          <w:color w:val="242A82"/>
          <w:spacing w:val="-2"/>
        </w:rPr>
        <w:t> </w:t>
      </w:r>
      <w:r>
        <w:rPr>
          <w:color w:val="242A82"/>
        </w:rPr>
        <w:t>trends</w:t>
      </w:r>
      <w:r>
        <w:rPr>
          <w:color w:val="242A82"/>
          <w:spacing w:val="-4"/>
        </w:rPr>
        <w:t> </w:t>
      </w:r>
      <w:r>
        <w:rPr>
          <w:color w:val="242A82"/>
        </w:rPr>
        <w:t>—</w:t>
      </w:r>
      <w:r>
        <w:rPr>
          <w:color w:val="242A82"/>
          <w:spacing w:val="-2"/>
        </w:rPr>
        <w:t> overview</w:t>
      </w:r>
    </w:p>
    <w:p>
      <w:pPr>
        <w:spacing w:before="237"/>
        <w:ind w:left="115" w:right="641" w:firstLine="0"/>
        <w:jc w:val="left"/>
        <w:rPr>
          <w:sz w:val="22"/>
        </w:rPr>
      </w:pPr>
      <w:r>
        <w:rPr>
          <w:sz w:val="22"/>
        </w:rPr>
        <w:t>This section provides an overview of the trends from April 2022 to June 2024. Section 3 provides</w:t>
      </w:r>
      <w:r>
        <w:rPr>
          <w:spacing w:val="-2"/>
          <w:sz w:val="22"/>
        </w:rPr>
        <w:t> </w:t>
      </w:r>
      <w:r>
        <w:rPr>
          <w:sz w:val="22"/>
        </w:rPr>
        <w:t>more</w:t>
      </w:r>
      <w:r>
        <w:rPr>
          <w:spacing w:val="-2"/>
          <w:sz w:val="22"/>
        </w:rPr>
        <w:t> </w:t>
      </w:r>
      <w:r>
        <w:rPr>
          <w:sz w:val="22"/>
        </w:rPr>
        <w:t>detailed</w:t>
      </w:r>
      <w:r>
        <w:rPr>
          <w:spacing w:val="-5"/>
          <w:sz w:val="22"/>
        </w:rPr>
        <w:t> </w:t>
      </w:r>
      <w:r>
        <w:rPr>
          <w:sz w:val="22"/>
        </w:rPr>
        <w:t>views</w:t>
      </w:r>
      <w:r>
        <w:rPr>
          <w:spacing w:val="-2"/>
          <w:sz w:val="22"/>
        </w:rPr>
        <w:t> </w:t>
      </w:r>
      <w:r>
        <w:rPr>
          <w:sz w:val="22"/>
        </w:rPr>
        <w:t>of</w:t>
      </w:r>
      <w:r>
        <w:rPr>
          <w:spacing w:val="-2"/>
          <w:sz w:val="22"/>
        </w:rPr>
        <w:t> </w:t>
      </w:r>
      <w:r>
        <w:rPr>
          <w:sz w:val="22"/>
        </w:rPr>
        <w:t>PALM</w:t>
      </w:r>
      <w:r>
        <w:rPr>
          <w:spacing w:val="-5"/>
          <w:sz w:val="22"/>
        </w:rPr>
        <w:t> </w:t>
      </w:r>
      <w:r>
        <w:rPr>
          <w:sz w:val="22"/>
        </w:rPr>
        <w:t>worker</w:t>
      </w:r>
      <w:r>
        <w:rPr>
          <w:spacing w:val="-4"/>
          <w:sz w:val="22"/>
        </w:rPr>
        <w:t> </w:t>
      </w:r>
      <w:r>
        <w:rPr>
          <w:sz w:val="22"/>
        </w:rPr>
        <w:t>counts by</w:t>
      </w:r>
      <w:r>
        <w:rPr>
          <w:spacing w:val="-3"/>
          <w:sz w:val="22"/>
        </w:rPr>
        <w:t> </w:t>
      </w:r>
      <w:r>
        <w:rPr>
          <w:sz w:val="22"/>
        </w:rPr>
        <w:t>country</w:t>
      </w:r>
      <w:r>
        <w:rPr>
          <w:spacing w:val="-2"/>
          <w:sz w:val="22"/>
        </w:rPr>
        <w:t> </w:t>
      </w:r>
      <w:r>
        <w:rPr>
          <w:sz w:val="22"/>
        </w:rPr>
        <w:t>of</w:t>
      </w:r>
      <w:r>
        <w:rPr>
          <w:spacing w:val="-4"/>
          <w:sz w:val="22"/>
        </w:rPr>
        <w:t> </w:t>
      </w:r>
      <w:r>
        <w:rPr>
          <w:sz w:val="22"/>
        </w:rPr>
        <w:t>origin,</w:t>
      </w:r>
      <w:r>
        <w:rPr>
          <w:spacing w:val="-1"/>
          <w:sz w:val="22"/>
        </w:rPr>
        <w:t> </w:t>
      </w:r>
      <w:r>
        <w:rPr>
          <w:sz w:val="22"/>
        </w:rPr>
        <w:t>by</w:t>
      </w:r>
      <w:r>
        <w:rPr>
          <w:spacing w:val="-3"/>
          <w:sz w:val="22"/>
        </w:rPr>
        <w:t> </w:t>
      </w:r>
      <w:r>
        <w:rPr>
          <w:sz w:val="22"/>
        </w:rPr>
        <w:t>industry,</w:t>
      </w:r>
      <w:r>
        <w:rPr>
          <w:spacing w:val="-4"/>
          <w:sz w:val="22"/>
        </w:rPr>
        <w:t> </w:t>
      </w:r>
      <w:r>
        <w:rPr>
          <w:sz w:val="22"/>
        </w:rPr>
        <w:t>and</w:t>
      </w:r>
      <w:r>
        <w:rPr>
          <w:spacing w:val="-2"/>
          <w:sz w:val="22"/>
        </w:rPr>
        <w:t> </w:t>
      </w:r>
      <w:r>
        <w:rPr>
          <w:sz w:val="22"/>
        </w:rPr>
        <w:t>for PALM scheme employer numbers.</w:t>
      </w:r>
    </w:p>
    <w:p>
      <w:pPr>
        <w:pStyle w:val="BodyText"/>
        <w:spacing w:before="107"/>
        <w:rPr>
          <w:sz w:val="22"/>
        </w:rPr>
      </w:pPr>
    </w:p>
    <w:p>
      <w:pPr>
        <w:pStyle w:val="Heading2"/>
      </w:pPr>
      <w:r>
        <w:rPr>
          <w:color w:val="242A82"/>
        </w:rPr>
        <w:t>PALM</w:t>
      </w:r>
      <w:r>
        <w:rPr>
          <w:color w:val="242A82"/>
          <w:spacing w:val="-5"/>
        </w:rPr>
        <w:t> </w:t>
      </w:r>
      <w:r>
        <w:rPr>
          <w:color w:val="242A82"/>
        </w:rPr>
        <w:t>worker</w:t>
      </w:r>
      <w:r>
        <w:rPr>
          <w:color w:val="242A82"/>
          <w:spacing w:val="-5"/>
        </w:rPr>
        <w:t> </w:t>
      </w:r>
      <w:r>
        <w:rPr>
          <w:color w:val="242A82"/>
        </w:rPr>
        <w:t>trends,</w:t>
      </w:r>
      <w:r>
        <w:rPr>
          <w:color w:val="242A82"/>
          <w:spacing w:val="-4"/>
        </w:rPr>
        <w:t> </w:t>
      </w:r>
      <w:r>
        <w:rPr>
          <w:color w:val="242A82"/>
        </w:rPr>
        <w:t>April</w:t>
      </w:r>
      <w:r>
        <w:rPr>
          <w:color w:val="242A82"/>
          <w:spacing w:val="-3"/>
        </w:rPr>
        <w:t> </w:t>
      </w:r>
      <w:r>
        <w:rPr>
          <w:color w:val="242A82"/>
        </w:rPr>
        <w:t>2022</w:t>
      </w:r>
      <w:r>
        <w:rPr>
          <w:color w:val="242A82"/>
          <w:spacing w:val="-5"/>
        </w:rPr>
        <w:t> </w:t>
      </w:r>
      <w:r>
        <w:rPr>
          <w:color w:val="242A82"/>
        </w:rPr>
        <w:t>to</w:t>
      </w:r>
      <w:r>
        <w:rPr>
          <w:color w:val="242A82"/>
          <w:spacing w:val="-3"/>
        </w:rPr>
        <w:t> </w:t>
      </w:r>
      <w:r>
        <w:rPr>
          <w:color w:val="242A82"/>
        </w:rPr>
        <w:t>June</w:t>
      </w:r>
      <w:r>
        <w:rPr>
          <w:color w:val="242A82"/>
          <w:spacing w:val="-5"/>
        </w:rPr>
        <w:t> </w:t>
      </w:r>
      <w:r>
        <w:rPr>
          <w:color w:val="242A82"/>
          <w:spacing w:val="-4"/>
        </w:rPr>
        <w:t>2024</w:t>
      </w:r>
    </w:p>
    <w:p>
      <w:pPr>
        <w:spacing w:before="119"/>
        <w:ind w:left="115" w:right="612" w:firstLine="0"/>
        <w:jc w:val="left"/>
        <w:rPr>
          <w:sz w:val="22"/>
        </w:rPr>
      </w:pPr>
      <w:r>
        <w:rPr>
          <w:sz w:val="22"/>
        </w:rPr>
        <w:t>Between</w:t>
      </w:r>
      <w:r>
        <w:rPr>
          <w:spacing w:val="-2"/>
          <w:sz w:val="22"/>
        </w:rPr>
        <w:t> </w:t>
      </w:r>
      <w:r>
        <w:rPr>
          <w:sz w:val="22"/>
        </w:rPr>
        <w:t>April</w:t>
      </w:r>
      <w:r>
        <w:rPr>
          <w:spacing w:val="-3"/>
          <w:sz w:val="22"/>
        </w:rPr>
        <w:t> </w:t>
      </w:r>
      <w:r>
        <w:rPr>
          <w:sz w:val="22"/>
        </w:rPr>
        <w:t>2022</w:t>
      </w:r>
      <w:r>
        <w:rPr>
          <w:spacing w:val="-2"/>
          <w:sz w:val="22"/>
        </w:rPr>
        <w:t> </w:t>
      </w:r>
      <w:r>
        <w:rPr>
          <w:sz w:val="22"/>
        </w:rPr>
        <w:t>and</w:t>
      </w:r>
      <w:r>
        <w:rPr>
          <w:spacing w:val="-5"/>
          <w:sz w:val="22"/>
        </w:rPr>
        <w:t> </w:t>
      </w:r>
      <w:r>
        <w:rPr>
          <w:sz w:val="22"/>
        </w:rPr>
        <w:t>June</w:t>
      </w:r>
      <w:r>
        <w:rPr>
          <w:spacing w:val="-2"/>
          <w:sz w:val="22"/>
        </w:rPr>
        <w:t> </w:t>
      </w:r>
      <w:r>
        <w:rPr>
          <w:sz w:val="22"/>
        </w:rPr>
        <w:t>2024,</w:t>
      </w:r>
      <w:r>
        <w:rPr>
          <w:spacing w:val="-3"/>
          <w:sz w:val="22"/>
        </w:rPr>
        <w:t> </w:t>
      </w:r>
      <w:r>
        <w:rPr>
          <w:sz w:val="22"/>
        </w:rPr>
        <w:t>the</w:t>
      </w:r>
      <w:r>
        <w:rPr>
          <w:spacing w:val="-3"/>
          <w:sz w:val="22"/>
        </w:rPr>
        <w:t> </w:t>
      </w:r>
      <w:r>
        <w:rPr>
          <w:sz w:val="22"/>
        </w:rPr>
        <w:t>number</w:t>
      </w:r>
      <w:r>
        <w:rPr>
          <w:spacing w:val="-3"/>
          <w:sz w:val="22"/>
        </w:rPr>
        <w:t> </w:t>
      </w:r>
      <w:r>
        <w:rPr>
          <w:sz w:val="22"/>
        </w:rPr>
        <w:t>of</w:t>
      </w:r>
      <w:r>
        <w:rPr>
          <w:spacing w:val="-2"/>
          <w:sz w:val="22"/>
        </w:rPr>
        <w:t> </w:t>
      </w:r>
      <w:r>
        <w:rPr>
          <w:sz w:val="22"/>
        </w:rPr>
        <w:t>PALM</w:t>
      </w:r>
      <w:r>
        <w:rPr>
          <w:spacing w:val="-2"/>
          <w:sz w:val="22"/>
        </w:rPr>
        <w:t> </w:t>
      </w:r>
      <w:r>
        <w:rPr>
          <w:sz w:val="22"/>
        </w:rPr>
        <w:t>scheme</w:t>
      </w:r>
      <w:r>
        <w:rPr>
          <w:spacing w:val="-3"/>
          <w:sz w:val="22"/>
        </w:rPr>
        <w:t> </w:t>
      </w:r>
      <w:r>
        <w:rPr>
          <w:sz w:val="22"/>
        </w:rPr>
        <w:t>workers</w:t>
      </w:r>
      <w:r>
        <w:rPr>
          <w:spacing w:val="-4"/>
          <w:sz w:val="22"/>
        </w:rPr>
        <w:t> </w:t>
      </w:r>
      <w:r>
        <w:rPr>
          <w:sz w:val="22"/>
        </w:rPr>
        <w:t>increased</w:t>
      </w:r>
      <w:r>
        <w:rPr>
          <w:spacing w:val="-3"/>
          <w:sz w:val="22"/>
        </w:rPr>
        <w:t> </w:t>
      </w:r>
      <w:r>
        <w:rPr>
          <w:sz w:val="22"/>
        </w:rPr>
        <w:t>by</w:t>
      </w:r>
      <w:r>
        <w:rPr>
          <w:spacing w:val="-2"/>
          <w:sz w:val="22"/>
        </w:rPr>
        <w:t> </w:t>
      </w:r>
      <w:r>
        <w:rPr>
          <w:sz w:val="22"/>
        </w:rPr>
        <w:t>31%.</w:t>
      </w:r>
      <w:r>
        <w:rPr>
          <w:spacing w:val="-3"/>
          <w:sz w:val="22"/>
        </w:rPr>
        <w:t> </w:t>
      </w:r>
      <w:r>
        <w:rPr>
          <w:sz w:val="22"/>
        </w:rPr>
        <w:t>This rate of growth is responsible and sustainable. Growth rates in the PALM scheme have moderated</w:t>
      </w:r>
      <w:r>
        <w:rPr>
          <w:spacing w:val="-1"/>
          <w:sz w:val="22"/>
        </w:rPr>
        <w:t> </w:t>
      </w:r>
      <w:r>
        <w:rPr>
          <w:sz w:val="22"/>
        </w:rPr>
        <w:t>since</w:t>
      </w:r>
      <w:r>
        <w:rPr>
          <w:spacing w:val="-2"/>
          <w:sz w:val="22"/>
        </w:rPr>
        <w:t> </w:t>
      </w:r>
      <w:r>
        <w:rPr>
          <w:sz w:val="22"/>
        </w:rPr>
        <w:t>COVID-19, when</w:t>
      </w:r>
      <w:r>
        <w:rPr>
          <w:spacing w:val="-2"/>
          <w:sz w:val="22"/>
        </w:rPr>
        <w:t> </w:t>
      </w:r>
      <w:r>
        <w:rPr>
          <w:sz w:val="22"/>
        </w:rPr>
        <w:t>PALM</w:t>
      </w:r>
      <w:r>
        <w:rPr>
          <w:spacing w:val="-3"/>
          <w:sz w:val="22"/>
        </w:rPr>
        <w:t> </w:t>
      </w:r>
      <w:r>
        <w:rPr>
          <w:sz w:val="22"/>
        </w:rPr>
        <w:t>was heavily</w:t>
      </w:r>
      <w:r>
        <w:rPr>
          <w:spacing w:val="-1"/>
          <w:sz w:val="22"/>
        </w:rPr>
        <w:t> </w:t>
      </w:r>
      <w:r>
        <w:rPr>
          <w:sz w:val="22"/>
        </w:rPr>
        <w:t>relied</w:t>
      </w:r>
      <w:r>
        <w:rPr>
          <w:spacing w:val="-1"/>
          <w:sz w:val="22"/>
        </w:rPr>
        <w:t> </w:t>
      </w:r>
      <w:r>
        <w:rPr>
          <w:sz w:val="22"/>
        </w:rPr>
        <w:t>upon as</w:t>
      </w:r>
      <w:r>
        <w:rPr>
          <w:spacing w:val="-1"/>
          <w:sz w:val="22"/>
        </w:rPr>
        <w:t> </w:t>
      </w:r>
      <w:r>
        <w:rPr>
          <w:sz w:val="22"/>
        </w:rPr>
        <w:t>there</w:t>
      </w:r>
      <w:r>
        <w:rPr>
          <w:spacing w:val="-4"/>
          <w:sz w:val="22"/>
        </w:rPr>
        <w:t> </w:t>
      </w:r>
      <w:r>
        <w:rPr>
          <w:sz w:val="22"/>
        </w:rPr>
        <w:t>were</w:t>
      </w:r>
      <w:r>
        <w:rPr>
          <w:spacing w:val="-3"/>
          <w:sz w:val="22"/>
        </w:rPr>
        <w:t> </w:t>
      </w:r>
      <w:r>
        <w:rPr>
          <w:sz w:val="22"/>
        </w:rPr>
        <w:t>limited</w:t>
      </w:r>
      <w:r>
        <w:rPr>
          <w:spacing w:val="-1"/>
          <w:sz w:val="22"/>
        </w:rPr>
        <w:t> </w:t>
      </w:r>
      <w:r>
        <w:rPr>
          <w:sz w:val="22"/>
        </w:rPr>
        <w:t>alternate sources of labour.</w:t>
      </w:r>
    </w:p>
    <w:p>
      <w:pPr>
        <w:pStyle w:val="ListParagraph"/>
        <w:numPr>
          <w:ilvl w:val="1"/>
          <w:numId w:val="1"/>
        </w:numPr>
        <w:tabs>
          <w:tab w:pos="835" w:val="left" w:leader="none"/>
        </w:tabs>
        <w:spacing w:line="240" w:lineRule="auto" w:before="120" w:after="0"/>
        <w:ind w:left="835" w:right="971" w:hanging="360"/>
        <w:jc w:val="left"/>
        <w:rPr>
          <w:rFonts w:ascii="Symbol" w:hAnsi="Symbol"/>
          <w:sz w:val="22"/>
        </w:rPr>
      </w:pPr>
      <w:r>
        <w:rPr>
          <w:sz w:val="22"/>
        </w:rPr>
        <w:t>There</w:t>
      </w:r>
      <w:r>
        <w:rPr>
          <w:spacing w:val="-2"/>
          <w:sz w:val="22"/>
        </w:rPr>
        <w:t> </w:t>
      </w:r>
      <w:r>
        <w:rPr>
          <w:sz w:val="22"/>
        </w:rPr>
        <w:t>have</w:t>
      </w:r>
      <w:r>
        <w:rPr>
          <w:spacing w:val="-2"/>
          <w:sz w:val="22"/>
        </w:rPr>
        <w:t> </w:t>
      </w:r>
      <w:r>
        <w:rPr>
          <w:sz w:val="22"/>
        </w:rPr>
        <w:t>been</w:t>
      </w:r>
      <w:r>
        <w:rPr>
          <w:spacing w:val="-3"/>
          <w:sz w:val="22"/>
        </w:rPr>
        <w:t> </w:t>
      </w:r>
      <w:r>
        <w:rPr>
          <w:sz w:val="22"/>
        </w:rPr>
        <w:t>shifts</w:t>
      </w:r>
      <w:r>
        <w:rPr>
          <w:spacing w:val="-5"/>
          <w:sz w:val="22"/>
        </w:rPr>
        <w:t> </w:t>
      </w:r>
      <w:r>
        <w:rPr>
          <w:sz w:val="22"/>
        </w:rPr>
        <w:t>in</w:t>
      </w:r>
      <w:r>
        <w:rPr>
          <w:spacing w:val="-3"/>
          <w:sz w:val="22"/>
        </w:rPr>
        <w:t> </w:t>
      </w:r>
      <w:r>
        <w:rPr>
          <w:sz w:val="22"/>
        </w:rPr>
        <w:t>composition over</w:t>
      </w:r>
      <w:r>
        <w:rPr>
          <w:spacing w:val="-4"/>
          <w:sz w:val="22"/>
        </w:rPr>
        <w:t> </w:t>
      </w:r>
      <w:r>
        <w:rPr>
          <w:sz w:val="22"/>
        </w:rPr>
        <w:t>time,</w:t>
      </w:r>
      <w:r>
        <w:rPr>
          <w:spacing w:val="-3"/>
          <w:sz w:val="22"/>
        </w:rPr>
        <w:t> </w:t>
      </w:r>
      <w:r>
        <w:rPr>
          <w:sz w:val="22"/>
        </w:rPr>
        <w:t>with</w:t>
      </w:r>
      <w:r>
        <w:rPr>
          <w:spacing w:val="-2"/>
          <w:sz w:val="22"/>
        </w:rPr>
        <w:t> </w:t>
      </w:r>
      <w:r>
        <w:rPr>
          <w:sz w:val="22"/>
        </w:rPr>
        <w:t>significant</w:t>
      </w:r>
      <w:r>
        <w:rPr>
          <w:spacing w:val="-1"/>
          <w:sz w:val="22"/>
        </w:rPr>
        <w:t> </w:t>
      </w:r>
      <w:r>
        <w:rPr>
          <w:sz w:val="22"/>
        </w:rPr>
        <w:t>growth</w:t>
      </w:r>
      <w:r>
        <w:rPr>
          <w:spacing w:val="-5"/>
          <w:sz w:val="22"/>
        </w:rPr>
        <w:t> </w:t>
      </w:r>
      <w:r>
        <w:rPr>
          <w:sz w:val="22"/>
        </w:rPr>
        <w:t>in</w:t>
      </w:r>
      <w:r>
        <w:rPr>
          <w:spacing w:val="-3"/>
          <w:sz w:val="22"/>
        </w:rPr>
        <w:t> </w:t>
      </w:r>
      <w:r>
        <w:rPr>
          <w:sz w:val="22"/>
        </w:rPr>
        <w:t>the</w:t>
      </w:r>
      <w:r>
        <w:rPr>
          <w:spacing w:val="-3"/>
          <w:sz w:val="22"/>
        </w:rPr>
        <w:t> </w:t>
      </w:r>
      <w:r>
        <w:rPr>
          <w:sz w:val="22"/>
        </w:rPr>
        <w:t>long- term stream which more than doubled, from 7,010 workers in April 2022 to 18,140 workers in June 2024 (an increase of 159%).</w:t>
      </w:r>
    </w:p>
    <w:p>
      <w:pPr>
        <w:pStyle w:val="ListParagraph"/>
        <w:numPr>
          <w:ilvl w:val="1"/>
          <w:numId w:val="1"/>
        </w:numPr>
        <w:tabs>
          <w:tab w:pos="835" w:val="left" w:leader="none"/>
        </w:tabs>
        <w:spacing w:line="240" w:lineRule="auto" w:before="122" w:after="0"/>
        <w:ind w:left="835" w:right="725" w:hanging="360"/>
        <w:jc w:val="left"/>
        <w:rPr>
          <w:rFonts w:ascii="Symbol" w:hAnsi="Symbol"/>
          <w:sz w:val="22"/>
        </w:rPr>
      </w:pPr>
      <w:r>
        <w:rPr>
          <w:sz w:val="22"/>
        </w:rPr>
        <w:t>By contrast, the short-term stream has been in decline since April 2022, prior to the commencement</w:t>
      </w:r>
      <w:r>
        <w:rPr>
          <w:spacing w:val="-3"/>
          <w:sz w:val="22"/>
        </w:rPr>
        <w:t> </w:t>
      </w:r>
      <w:r>
        <w:rPr>
          <w:sz w:val="22"/>
        </w:rPr>
        <w:t>of</w:t>
      </w:r>
      <w:r>
        <w:rPr>
          <w:spacing w:val="-4"/>
          <w:sz w:val="22"/>
        </w:rPr>
        <w:t> </w:t>
      </w:r>
      <w:r>
        <w:rPr>
          <w:sz w:val="22"/>
        </w:rPr>
        <w:t>the</w:t>
      </w:r>
      <w:r>
        <w:rPr>
          <w:spacing w:val="-3"/>
          <w:sz w:val="22"/>
        </w:rPr>
        <w:t> </w:t>
      </w:r>
      <w:r>
        <w:rPr>
          <w:sz w:val="22"/>
        </w:rPr>
        <w:t>new</w:t>
      </w:r>
      <w:r>
        <w:rPr>
          <w:spacing w:val="-1"/>
          <w:sz w:val="22"/>
        </w:rPr>
        <w:t> </w:t>
      </w:r>
      <w:r>
        <w:rPr>
          <w:sz w:val="22"/>
        </w:rPr>
        <w:t>PALM</w:t>
      </w:r>
      <w:r>
        <w:rPr>
          <w:spacing w:val="-2"/>
          <w:sz w:val="22"/>
        </w:rPr>
        <w:t> </w:t>
      </w:r>
      <w:r>
        <w:rPr>
          <w:sz w:val="22"/>
        </w:rPr>
        <w:t>scheme</w:t>
      </w:r>
      <w:r>
        <w:rPr>
          <w:spacing w:val="-5"/>
          <w:sz w:val="22"/>
        </w:rPr>
        <w:t> </w:t>
      </w:r>
      <w:r>
        <w:rPr>
          <w:sz w:val="22"/>
        </w:rPr>
        <w:t>in mid-2023.</w:t>
      </w:r>
      <w:r>
        <w:rPr>
          <w:spacing w:val="-1"/>
          <w:sz w:val="22"/>
        </w:rPr>
        <w:t> </w:t>
      </w:r>
      <w:r>
        <w:rPr>
          <w:sz w:val="22"/>
        </w:rPr>
        <w:t>Since</w:t>
      </w:r>
      <w:r>
        <w:rPr>
          <w:spacing w:val="-2"/>
          <w:sz w:val="22"/>
        </w:rPr>
        <w:t> </w:t>
      </w:r>
      <w:r>
        <w:rPr>
          <w:sz w:val="22"/>
        </w:rPr>
        <w:t>April</w:t>
      </w:r>
      <w:r>
        <w:rPr>
          <w:spacing w:val="-5"/>
          <w:sz w:val="22"/>
        </w:rPr>
        <w:t> </w:t>
      </w:r>
      <w:r>
        <w:rPr>
          <w:sz w:val="22"/>
        </w:rPr>
        <w:t>2022,</w:t>
      </w:r>
      <w:r>
        <w:rPr>
          <w:spacing w:val="-3"/>
          <w:sz w:val="22"/>
        </w:rPr>
        <w:t> </w:t>
      </w:r>
      <w:r>
        <w:rPr>
          <w:sz w:val="22"/>
        </w:rPr>
        <w:t>the</w:t>
      </w:r>
      <w:r>
        <w:rPr>
          <w:spacing w:val="-3"/>
          <w:sz w:val="22"/>
        </w:rPr>
        <w:t> </w:t>
      </w:r>
      <w:r>
        <w:rPr>
          <w:sz w:val="22"/>
        </w:rPr>
        <w:t>short-term stream has declined by 16%.</w:t>
      </w:r>
    </w:p>
    <w:p>
      <w:pPr>
        <w:spacing w:before="120"/>
        <w:ind w:left="115" w:right="567" w:firstLine="0"/>
        <w:jc w:val="left"/>
        <w:rPr>
          <w:sz w:val="22"/>
        </w:rPr>
      </w:pPr>
      <w:r>
        <w:rPr>
          <w:sz w:val="22"/>
        </w:rPr>
        <w:t>The</w:t>
      </w:r>
      <w:r>
        <w:rPr>
          <w:spacing w:val="-3"/>
          <w:sz w:val="22"/>
        </w:rPr>
        <w:t> </w:t>
      </w:r>
      <w:r>
        <w:rPr>
          <w:sz w:val="22"/>
        </w:rPr>
        <w:t>PALM</w:t>
      </w:r>
      <w:r>
        <w:rPr>
          <w:spacing w:val="-2"/>
          <w:sz w:val="22"/>
        </w:rPr>
        <w:t> </w:t>
      </w:r>
      <w:r>
        <w:rPr>
          <w:sz w:val="22"/>
        </w:rPr>
        <w:t>scheme</w:t>
      </w:r>
      <w:r>
        <w:rPr>
          <w:spacing w:val="-2"/>
          <w:sz w:val="22"/>
        </w:rPr>
        <w:t> </w:t>
      </w:r>
      <w:r>
        <w:rPr>
          <w:sz w:val="22"/>
        </w:rPr>
        <w:t>has</w:t>
      </w:r>
      <w:r>
        <w:rPr>
          <w:spacing w:val="-5"/>
          <w:sz w:val="22"/>
        </w:rPr>
        <w:t> </w:t>
      </w:r>
      <w:r>
        <w:rPr>
          <w:sz w:val="22"/>
        </w:rPr>
        <w:t>become</w:t>
      </w:r>
      <w:r>
        <w:rPr>
          <w:spacing w:val="-2"/>
          <w:sz w:val="22"/>
        </w:rPr>
        <w:t> </w:t>
      </w:r>
      <w:r>
        <w:rPr>
          <w:sz w:val="22"/>
        </w:rPr>
        <w:t>increasingly</w:t>
      </w:r>
      <w:r>
        <w:rPr>
          <w:spacing w:val="-3"/>
          <w:sz w:val="22"/>
        </w:rPr>
        <w:t> </w:t>
      </w:r>
      <w:r>
        <w:rPr>
          <w:sz w:val="22"/>
        </w:rPr>
        <w:t>diversified,</w:t>
      </w:r>
      <w:r>
        <w:rPr>
          <w:spacing w:val="-2"/>
          <w:sz w:val="22"/>
        </w:rPr>
        <w:t> </w:t>
      </w:r>
      <w:r>
        <w:rPr>
          <w:sz w:val="22"/>
        </w:rPr>
        <w:t>with</w:t>
      </w:r>
      <w:r>
        <w:rPr>
          <w:spacing w:val="-2"/>
          <w:sz w:val="22"/>
        </w:rPr>
        <w:t> </w:t>
      </w:r>
      <w:r>
        <w:rPr>
          <w:sz w:val="22"/>
        </w:rPr>
        <w:t>employers</w:t>
      </w:r>
      <w:r>
        <w:rPr>
          <w:spacing w:val="-2"/>
          <w:sz w:val="22"/>
        </w:rPr>
        <w:t> </w:t>
      </w:r>
      <w:r>
        <w:rPr>
          <w:sz w:val="22"/>
        </w:rPr>
        <w:t>from</w:t>
      </w:r>
      <w:r>
        <w:rPr>
          <w:spacing w:val="-3"/>
          <w:sz w:val="22"/>
        </w:rPr>
        <w:t> </w:t>
      </w:r>
      <w:r>
        <w:rPr>
          <w:sz w:val="22"/>
        </w:rPr>
        <w:t>a</w:t>
      </w:r>
      <w:r>
        <w:rPr>
          <w:spacing w:val="-3"/>
          <w:sz w:val="22"/>
        </w:rPr>
        <w:t> </w:t>
      </w:r>
      <w:r>
        <w:rPr>
          <w:sz w:val="22"/>
        </w:rPr>
        <w:t>broader</w:t>
      </w:r>
      <w:r>
        <w:rPr>
          <w:spacing w:val="-1"/>
          <w:sz w:val="22"/>
        </w:rPr>
        <w:t> </w:t>
      </w:r>
      <w:r>
        <w:rPr>
          <w:sz w:val="22"/>
        </w:rPr>
        <w:t>range</w:t>
      </w:r>
      <w:r>
        <w:rPr>
          <w:spacing w:val="-3"/>
          <w:sz w:val="22"/>
        </w:rPr>
        <w:t> </w:t>
      </w:r>
      <w:r>
        <w:rPr>
          <w:sz w:val="22"/>
        </w:rPr>
        <w:t>of industries entering the scheme, offering Pacific Island and Timor-Leste workers with more </w:t>
      </w:r>
      <w:r>
        <w:rPr>
          <w:spacing w:val="-2"/>
          <w:sz w:val="22"/>
        </w:rPr>
        <w:t>choice.</w:t>
      </w:r>
    </w:p>
    <w:p>
      <w:pPr>
        <w:pStyle w:val="ListParagraph"/>
        <w:numPr>
          <w:ilvl w:val="1"/>
          <w:numId w:val="1"/>
        </w:numPr>
        <w:tabs>
          <w:tab w:pos="835" w:val="left" w:leader="none"/>
        </w:tabs>
        <w:spacing w:line="240" w:lineRule="auto" w:before="121" w:after="0"/>
        <w:ind w:left="835" w:right="0" w:hanging="360"/>
        <w:jc w:val="left"/>
        <w:rPr>
          <w:rFonts w:ascii="Symbol" w:hAnsi="Symbol"/>
          <w:sz w:val="22"/>
        </w:rPr>
      </w:pPr>
      <w:r>
        <w:rPr>
          <w:sz w:val="22"/>
        </w:rPr>
        <w:t>Data</w:t>
      </w:r>
      <w:r>
        <w:rPr>
          <w:spacing w:val="-7"/>
          <w:sz w:val="22"/>
        </w:rPr>
        <w:t> </w:t>
      </w:r>
      <w:r>
        <w:rPr>
          <w:sz w:val="22"/>
        </w:rPr>
        <w:t>from</w:t>
      </w:r>
      <w:r>
        <w:rPr>
          <w:spacing w:val="-4"/>
          <w:sz w:val="22"/>
        </w:rPr>
        <w:t> </w:t>
      </w:r>
      <w:r>
        <w:rPr>
          <w:sz w:val="22"/>
        </w:rPr>
        <w:t>April</w:t>
      </w:r>
      <w:r>
        <w:rPr>
          <w:spacing w:val="-4"/>
          <w:sz w:val="22"/>
        </w:rPr>
        <w:t> </w:t>
      </w:r>
      <w:r>
        <w:rPr>
          <w:sz w:val="22"/>
        </w:rPr>
        <w:t>2022</w:t>
      </w:r>
      <w:r>
        <w:rPr>
          <w:spacing w:val="-6"/>
          <w:sz w:val="22"/>
        </w:rPr>
        <w:t> </w:t>
      </w:r>
      <w:r>
        <w:rPr>
          <w:sz w:val="22"/>
        </w:rPr>
        <w:t>to</w:t>
      </w:r>
      <w:r>
        <w:rPr>
          <w:spacing w:val="-5"/>
          <w:sz w:val="22"/>
        </w:rPr>
        <w:t> </w:t>
      </w:r>
      <w:r>
        <w:rPr>
          <w:sz w:val="22"/>
        </w:rPr>
        <w:t>June</w:t>
      </w:r>
      <w:r>
        <w:rPr>
          <w:spacing w:val="-4"/>
          <w:sz w:val="22"/>
        </w:rPr>
        <w:t> </w:t>
      </w:r>
      <w:r>
        <w:rPr>
          <w:sz w:val="22"/>
        </w:rPr>
        <w:t>2024</w:t>
      </w:r>
      <w:r>
        <w:rPr>
          <w:spacing w:val="-3"/>
          <w:sz w:val="22"/>
        </w:rPr>
        <w:t> </w:t>
      </w:r>
      <w:r>
        <w:rPr>
          <w:sz w:val="22"/>
        </w:rPr>
        <w:t>shows</w:t>
      </w:r>
      <w:r>
        <w:rPr>
          <w:spacing w:val="-3"/>
          <w:sz w:val="22"/>
        </w:rPr>
        <w:t> </w:t>
      </w:r>
      <w:r>
        <w:rPr>
          <w:sz w:val="22"/>
        </w:rPr>
        <w:t>a</w:t>
      </w:r>
      <w:r>
        <w:rPr>
          <w:spacing w:val="-3"/>
          <w:sz w:val="22"/>
        </w:rPr>
        <w:t> </w:t>
      </w:r>
      <w:r>
        <w:rPr>
          <w:sz w:val="22"/>
        </w:rPr>
        <w:t>decline</w:t>
      </w:r>
      <w:r>
        <w:rPr>
          <w:spacing w:val="-4"/>
          <w:sz w:val="22"/>
        </w:rPr>
        <w:t> </w:t>
      </w:r>
      <w:r>
        <w:rPr>
          <w:sz w:val="22"/>
        </w:rPr>
        <w:t>in</w:t>
      </w:r>
      <w:r>
        <w:rPr>
          <w:spacing w:val="-4"/>
          <w:sz w:val="22"/>
        </w:rPr>
        <w:t> </w:t>
      </w:r>
      <w:r>
        <w:rPr>
          <w:sz w:val="22"/>
        </w:rPr>
        <w:t>workers</w:t>
      </w:r>
      <w:r>
        <w:rPr>
          <w:spacing w:val="-3"/>
          <w:sz w:val="22"/>
        </w:rPr>
        <w:t> </w:t>
      </w:r>
      <w:r>
        <w:rPr>
          <w:sz w:val="22"/>
        </w:rPr>
        <w:t>in</w:t>
      </w:r>
      <w:r>
        <w:rPr>
          <w:spacing w:val="-3"/>
          <w:sz w:val="22"/>
        </w:rPr>
        <w:t> </w:t>
      </w:r>
      <w:r>
        <w:rPr>
          <w:sz w:val="22"/>
        </w:rPr>
        <w:t>Agriculture</w:t>
      </w:r>
      <w:r>
        <w:rPr>
          <w:spacing w:val="-3"/>
          <w:sz w:val="22"/>
        </w:rPr>
        <w:t> </w:t>
      </w:r>
      <w:r>
        <w:rPr>
          <w:sz w:val="22"/>
        </w:rPr>
        <w:t>of</w:t>
      </w:r>
      <w:r>
        <w:rPr>
          <w:spacing w:val="2"/>
          <w:sz w:val="22"/>
        </w:rPr>
        <w:t> </w:t>
      </w:r>
      <w:r>
        <w:rPr>
          <w:spacing w:val="-5"/>
          <w:sz w:val="22"/>
        </w:rPr>
        <w:t>7%.</w:t>
      </w:r>
    </w:p>
    <w:p>
      <w:pPr>
        <w:pStyle w:val="ListParagraph"/>
        <w:numPr>
          <w:ilvl w:val="2"/>
          <w:numId w:val="1"/>
        </w:numPr>
        <w:tabs>
          <w:tab w:pos="1555" w:val="left" w:leader="none"/>
        </w:tabs>
        <w:spacing w:line="232" w:lineRule="auto" w:before="122" w:after="0"/>
        <w:ind w:left="1555" w:right="919" w:hanging="360"/>
        <w:jc w:val="left"/>
        <w:rPr>
          <w:sz w:val="22"/>
        </w:rPr>
      </w:pPr>
      <w:r>
        <w:rPr>
          <w:sz w:val="22"/>
        </w:rPr>
        <w:t>Short-term</w:t>
      </w:r>
      <w:r>
        <w:rPr>
          <w:spacing w:val="-4"/>
          <w:sz w:val="22"/>
        </w:rPr>
        <w:t> </w:t>
      </w:r>
      <w:r>
        <w:rPr>
          <w:sz w:val="22"/>
        </w:rPr>
        <w:t>Agriculture</w:t>
      </w:r>
      <w:r>
        <w:rPr>
          <w:spacing w:val="-3"/>
          <w:sz w:val="22"/>
        </w:rPr>
        <w:t> </w:t>
      </w:r>
      <w:r>
        <w:rPr>
          <w:sz w:val="22"/>
        </w:rPr>
        <w:t>declined</w:t>
      </w:r>
      <w:r>
        <w:rPr>
          <w:spacing w:val="-3"/>
          <w:sz w:val="22"/>
        </w:rPr>
        <w:t> </w:t>
      </w:r>
      <w:r>
        <w:rPr>
          <w:sz w:val="22"/>
        </w:rPr>
        <w:t>by</w:t>
      </w:r>
      <w:r>
        <w:rPr>
          <w:spacing w:val="-4"/>
          <w:sz w:val="22"/>
        </w:rPr>
        <w:t> </w:t>
      </w:r>
      <w:r>
        <w:rPr>
          <w:sz w:val="22"/>
        </w:rPr>
        <w:t>14%</w:t>
      </w:r>
      <w:r>
        <w:rPr>
          <w:spacing w:val="-3"/>
          <w:sz w:val="22"/>
        </w:rPr>
        <w:t> </w:t>
      </w:r>
      <w:r>
        <w:rPr>
          <w:sz w:val="22"/>
        </w:rPr>
        <w:t>between</w:t>
      </w:r>
      <w:r>
        <w:rPr>
          <w:spacing w:val="-8"/>
          <w:sz w:val="22"/>
        </w:rPr>
        <w:t> </w:t>
      </w:r>
      <w:r>
        <w:rPr>
          <w:sz w:val="22"/>
        </w:rPr>
        <w:t>April</w:t>
      </w:r>
      <w:r>
        <w:rPr>
          <w:spacing w:val="-4"/>
          <w:sz w:val="22"/>
        </w:rPr>
        <w:t> </w:t>
      </w:r>
      <w:r>
        <w:rPr>
          <w:sz w:val="22"/>
        </w:rPr>
        <w:t>2022</w:t>
      </w:r>
      <w:r>
        <w:rPr>
          <w:spacing w:val="-4"/>
          <w:sz w:val="22"/>
        </w:rPr>
        <w:t> </w:t>
      </w:r>
      <w:r>
        <w:rPr>
          <w:sz w:val="22"/>
        </w:rPr>
        <w:t>and</w:t>
      </w:r>
      <w:r>
        <w:rPr>
          <w:spacing w:val="-4"/>
          <w:sz w:val="22"/>
        </w:rPr>
        <w:t> </w:t>
      </w:r>
      <w:r>
        <w:rPr>
          <w:sz w:val="22"/>
        </w:rPr>
        <w:t>June</w:t>
      </w:r>
      <w:r>
        <w:rPr>
          <w:spacing w:val="-3"/>
          <w:sz w:val="22"/>
        </w:rPr>
        <w:t> </w:t>
      </w:r>
      <w:r>
        <w:rPr>
          <w:sz w:val="22"/>
        </w:rPr>
        <w:t>2024</w:t>
      </w:r>
      <w:r>
        <w:rPr>
          <w:spacing w:val="-1"/>
          <w:sz w:val="22"/>
        </w:rPr>
        <w:t> </w:t>
      </w:r>
      <w:r>
        <w:rPr>
          <w:sz w:val="22"/>
        </w:rPr>
        <w:t>but continues to employ the largest cohort of workers in any sector, at 15,730 workers in June 2024.</w:t>
      </w:r>
    </w:p>
    <w:p>
      <w:pPr>
        <w:pStyle w:val="BodyText"/>
        <w:rPr>
          <w:sz w:val="16"/>
        </w:rPr>
      </w:pPr>
    </w:p>
    <w:p>
      <w:pPr>
        <w:pStyle w:val="BodyText"/>
        <w:rPr>
          <w:sz w:val="16"/>
        </w:rPr>
      </w:pPr>
    </w:p>
    <w:p>
      <w:pPr>
        <w:pStyle w:val="BodyText"/>
        <w:rPr>
          <w:sz w:val="16"/>
        </w:rPr>
      </w:pPr>
    </w:p>
    <w:p>
      <w:pPr>
        <w:pStyle w:val="BodyText"/>
        <w:spacing w:before="172"/>
        <w:rPr>
          <w:sz w:val="16"/>
        </w:rPr>
      </w:pPr>
    </w:p>
    <w:p>
      <w:pPr>
        <w:spacing w:line="185" w:lineRule="exact" w:before="0"/>
        <w:ind w:left="9556" w:right="0" w:firstLine="0"/>
        <w:jc w:val="left"/>
        <w:rPr>
          <w:sz w:val="16"/>
        </w:rPr>
      </w:pPr>
      <w:r>
        <w:rPr>
          <w:color w:val="242A82"/>
          <w:spacing w:val="-10"/>
          <w:sz w:val="16"/>
        </w:rPr>
        <w:t>2</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ListParagraph"/>
        <w:numPr>
          <w:ilvl w:val="2"/>
          <w:numId w:val="1"/>
        </w:numPr>
        <w:tabs>
          <w:tab w:pos="1555" w:val="left" w:leader="none"/>
        </w:tabs>
        <w:spacing w:line="223" w:lineRule="auto" w:before="102" w:after="0"/>
        <w:ind w:left="1555" w:right="609" w:hanging="360"/>
        <w:jc w:val="left"/>
        <w:rPr>
          <w:sz w:val="22"/>
        </w:rPr>
      </w:pPr>
      <w:r>
        <w:rPr>
          <w:sz w:val="22"/>
        </w:rPr>
        <w:drawing>
          <wp:anchor distT="0" distB="0" distL="0" distR="0" allowOverlap="1" layoutInCell="1" locked="0" behindDoc="1" simplePos="0" relativeHeight="487224832">
            <wp:simplePos x="0" y="0"/>
            <wp:positionH relativeFrom="page">
              <wp:posOffset>0</wp:posOffset>
            </wp:positionH>
            <wp:positionV relativeFrom="page">
              <wp:posOffset>60</wp:posOffset>
            </wp:positionV>
            <wp:extent cx="7560564" cy="1065745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7560564" cy="10657459"/>
                    </a:xfrm>
                    <a:prstGeom prst="rect">
                      <a:avLst/>
                    </a:prstGeom>
                  </pic:spPr>
                </pic:pic>
              </a:graphicData>
            </a:graphic>
          </wp:anchor>
        </w:drawing>
      </w:r>
      <w:r>
        <w:rPr>
          <w:sz w:val="22"/>
        </w:rPr>
        <w:t>The</w:t>
      </w:r>
      <w:r>
        <w:rPr>
          <w:spacing w:val="-3"/>
          <w:sz w:val="22"/>
        </w:rPr>
        <w:t> </w:t>
      </w:r>
      <w:r>
        <w:rPr>
          <w:sz w:val="22"/>
        </w:rPr>
        <w:t>decline</w:t>
      </w:r>
      <w:r>
        <w:rPr>
          <w:spacing w:val="-3"/>
          <w:sz w:val="22"/>
        </w:rPr>
        <w:t> </w:t>
      </w:r>
      <w:r>
        <w:rPr>
          <w:sz w:val="22"/>
        </w:rPr>
        <w:t>in</w:t>
      </w:r>
      <w:r>
        <w:rPr>
          <w:spacing w:val="-3"/>
          <w:sz w:val="22"/>
        </w:rPr>
        <w:t> </w:t>
      </w:r>
      <w:r>
        <w:rPr>
          <w:sz w:val="22"/>
        </w:rPr>
        <w:t>short-term</w:t>
      </w:r>
      <w:r>
        <w:rPr>
          <w:spacing w:val="-3"/>
          <w:sz w:val="22"/>
        </w:rPr>
        <w:t> </w:t>
      </w:r>
      <w:r>
        <w:rPr>
          <w:sz w:val="22"/>
        </w:rPr>
        <w:t>agricultural</w:t>
      </w:r>
      <w:r>
        <w:rPr>
          <w:spacing w:val="-4"/>
          <w:sz w:val="22"/>
        </w:rPr>
        <w:t> </w:t>
      </w:r>
      <w:r>
        <w:rPr>
          <w:sz w:val="22"/>
        </w:rPr>
        <w:t>workers</w:t>
      </w:r>
      <w:r>
        <w:rPr>
          <w:spacing w:val="-2"/>
          <w:sz w:val="22"/>
        </w:rPr>
        <w:t> </w:t>
      </w:r>
      <w:r>
        <w:rPr>
          <w:sz w:val="22"/>
        </w:rPr>
        <w:t>was</w:t>
      </w:r>
      <w:r>
        <w:rPr>
          <w:spacing w:val="-2"/>
          <w:sz w:val="22"/>
        </w:rPr>
        <w:t> </w:t>
      </w:r>
      <w:r>
        <w:rPr>
          <w:sz w:val="22"/>
        </w:rPr>
        <w:t>partly</w:t>
      </w:r>
      <w:r>
        <w:rPr>
          <w:spacing w:val="-3"/>
          <w:sz w:val="22"/>
        </w:rPr>
        <w:t> </w:t>
      </w:r>
      <w:r>
        <w:rPr>
          <w:sz w:val="22"/>
        </w:rPr>
        <w:t>offset</w:t>
      </w:r>
      <w:r>
        <w:rPr>
          <w:spacing w:val="-3"/>
          <w:sz w:val="22"/>
        </w:rPr>
        <w:t> </w:t>
      </w:r>
      <w:r>
        <w:rPr>
          <w:sz w:val="22"/>
        </w:rPr>
        <w:t>by</w:t>
      </w:r>
      <w:r>
        <w:rPr>
          <w:spacing w:val="-3"/>
          <w:sz w:val="22"/>
        </w:rPr>
        <w:t> </w:t>
      </w:r>
      <w:r>
        <w:rPr>
          <w:sz w:val="22"/>
        </w:rPr>
        <w:t>an</w:t>
      </w:r>
      <w:r>
        <w:rPr>
          <w:spacing w:val="-2"/>
          <w:sz w:val="22"/>
        </w:rPr>
        <w:t> </w:t>
      </w:r>
      <w:r>
        <w:rPr>
          <w:sz w:val="22"/>
        </w:rPr>
        <w:t>increase</w:t>
      </w:r>
      <w:r>
        <w:rPr>
          <w:spacing w:val="-3"/>
          <w:sz w:val="22"/>
        </w:rPr>
        <w:t> </w:t>
      </w:r>
      <w:r>
        <w:rPr>
          <w:sz w:val="22"/>
        </w:rPr>
        <w:t>in long-term agriculture, rising from 1,680 in April 2022 to 2,855 in June 2024.</w:t>
      </w:r>
    </w:p>
    <w:p>
      <w:pPr>
        <w:pStyle w:val="ListParagraph"/>
        <w:numPr>
          <w:ilvl w:val="1"/>
          <w:numId w:val="1"/>
        </w:numPr>
        <w:tabs>
          <w:tab w:pos="835" w:val="left" w:leader="none"/>
        </w:tabs>
        <w:spacing w:line="240" w:lineRule="auto" w:before="126" w:after="0"/>
        <w:ind w:left="835" w:right="817" w:hanging="360"/>
        <w:jc w:val="left"/>
        <w:rPr>
          <w:rFonts w:ascii="Symbol" w:hAnsi="Symbol"/>
          <w:sz w:val="22"/>
        </w:rPr>
      </w:pPr>
      <w:r>
        <w:rPr>
          <w:sz w:val="22"/>
        </w:rPr>
        <w:t>All</w:t>
      </w:r>
      <w:r>
        <w:rPr>
          <w:spacing w:val="-2"/>
          <w:sz w:val="22"/>
        </w:rPr>
        <w:t> </w:t>
      </w:r>
      <w:r>
        <w:rPr>
          <w:sz w:val="22"/>
        </w:rPr>
        <w:t>long-term</w:t>
      </w:r>
      <w:r>
        <w:rPr>
          <w:spacing w:val="-4"/>
          <w:sz w:val="22"/>
        </w:rPr>
        <w:t> </w:t>
      </w:r>
      <w:r>
        <w:rPr>
          <w:sz w:val="22"/>
        </w:rPr>
        <w:t>industry</w:t>
      </w:r>
      <w:r>
        <w:rPr>
          <w:spacing w:val="-3"/>
          <w:sz w:val="22"/>
        </w:rPr>
        <w:t> </w:t>
      </w:r>
      <w:r>
        <w:rPr>
          <w:sz w:val="22"/>
        </w:rPr>
        <w:t>components</w:t>
      </w:r>
      <w:r>
        <w:rPr>
          <w:spacing w:val="-1"/>
          <w:sz w:val="22"/>
        </w:rPr>
        <w:t> </w:t>
      </w:r>
      <w:r>
        <w:rPr>
          <w:sz w:val="22"/>
        </w:rPr>
        <w:t>increased,</w:t>
      </w:r>
      <w:r>
        <w:rPr>
          <w:spacing w:val="-3"/>
          <w:sz w:val="22"/>
        </w:rPr>
        <w:t> </w:t>
      </w:r>
      <w:r>
        <w:rPr>
          <w:sz w:val="22"/>
        </w:rPr>
        <w:t>with</w:t>
      </w:r>
      <w:r>
        <w:rPr>
          <w:spacing w:val="-1"/>
          <w:sz w:val="22"/>
        </w:rPr>
        <w:t> </w:t>
      </w:r>
      <w:r>
        <w:rPr>
          <w:sz w:val="22"/>
        </w:rPr>
        <w:t>the</w:t>
      </w:r>
      <w:r>
        <w:rPr>
          <w:spacing w:val="-2"/>
          <w:sz w:val="22"/>
        </w:rPr>
        <w:t> </w:t>
      </w:r>
      <w:r>
        <w:rPr>
          <w:sz w:val="22"/>
        </w:rPr>
        <w:t>most</w:t>
      </w:r>
      <w:r>
        <w:rPr>
          <w:spacing w:val="-3"/>
          <w:sz w:val="22"/>
        </w:rPr>
        <w:t> </w:t>
      </w:r>
      <w:r>
        <w:rPr>
          <w:sz w:val="22"/>
        </w:rPr>
        <w:t>significant</w:t>
      </w:r>
      <w:r>
        <w:rPr>
          <w:spacing w:val="-3"/>
          <w:sz w:val="22"/>
        </w:rPr>
        <w:t> </w:t>
      </w:r>
      <w:r>
        <w:rPr>
          <w:sz w:val="22"/>
        </w:rPr>
        <w:t>increases</w:t>
      </w:r>
      <w:r>
        <w:rPr>
          <w:spacing w:val="-1"/>
          <w:sz w:val="22"/>
        </w:rPr>
        <w:t> </w:t>
      </w:r>
      <w:r>
        <w:rPr>
          <w:sz w:val="22"/>
        </w:rPr>
        <w:t>from April 2022 recorded for Health care and social assistance (increasing by 796%, albeit from</w:t>
      </w:r>
      <w:r>
        <w:rPr>
          <w:spacing w:val="-3"/>
          <w:sz w:val="22"/>
        </w:rPr>
        <w:t> </w:t>
      </w:r>
      <w:r>
        <w:rPr>
          <w:sz w:val="22"/>
        </w:rPr>
        <w:t>a</w:t>
      </w:r>
      <w:r>
        <w:rPr>
          <w:spacing w:val="-2"/>
          <w:sz w:val="22"/>
        </w:rPr>
        <w:t> </w:t>
      </w:r>
      <w:r>
        <w:rPr>
          <w:sz w:val="22"/>
        </w:rPr>
        <w:t>small</w:t>
      </w:r>
      <w:r>
        <w:rPr>
          <w:spacing w:val="-3"/>
          <w:sz w:val="22"/>
        </w:rPr>
        <w:t> </w:t>
      </w:r>
      <w:r>
        <w:rPr>
          <w:sz w:val="22"/>
        </w:rPr>
        <w:t>base)</w:t>
      </w:r>
      <w:r>
        <w:rPr>
          <w:spacing w:val="-1"/>
          <w:sz w:val="22"/>
        </w:rPr>
        <w:t> </w:t>
      </w:r>
      <w:r>
        <w:rPr>
          <w:sz w:val="22"/>
        </w:rPr>
        <w:t>and</w:t>
      </w:r>
      <w:r>
        <w:rPr>
          <w:spacing w:val="-4"/>
          <w:sz w:val="22"/>
        </w:rPr>
        <w:t> </w:t>
      </w:r>
      <w:r>
        <w:rPr>
          <w:sz w:val="22"/>
        </w:rPr>
        <w:t>Meat</w:t>
      </w:r>
      <w:r>
        <w:rPr>
          <w:spacing w:val="-1"/>
          <w:sz w:val="22"/>
        </w:rPr>
        <w:t> </w:t>
      </w:r>
      <w:r>
        <w:rPr>
          <w:sz w:val="22"/>
        </w:rPr>
        <w:t>processing,</w:t>
      </w:r>
      <w:r>
        <w:rPr>
          <w:spacing w:val="-3"/>
          <w:sz w:val="22"/>
        </w:rPr>
        <w:t> </w:t>
      </w:r>
      <w:r>
        <w:rPr>
          <w:sz w:val="22"/>
        </w:rPr>
        <w:t>which</w:t>
      </w:r>
      <w:r>
        <w:rPr>
          <w:spacing w:val="-5"/>
          <w:sz w:val="22"/>
        </w:rPr>
        <w:t> </w:t>
      </w:r>
      <w:r>
        <w:rPr>
          <w:sz w:val="22"/>
        </w:rPr>
        <w:t>rose</w:t>
      </w:r>
      <w:r>
        <w:rPr>
          <w:spacing w:val="-3"/>
          <w:sz w:val="22"/>
        </w:rPr>
        <w:t> </w:t>
      </w:r>
      <w:r>
        <w:rPr>
          <w:sz w:val="22"/>
        </w:rPr>
        <w:t>by</w:t>
      </w:r>
      <w:r>
        <w:rPr>
          <w:spacing w:val="-1"/>
          <w:sz w:val="22"/>
        </w:rPr>
        <w:t> </w:t>
      </w:r>
      <w:r>
        <w:rPr>
          <w:sz w:val="22"/>
        </w:rPr>
        <w:t>161%</w:t>
      </w:r>
      <w:r>
        <w:rPr>
          <w:spacing w:val="-2"/>
          <w:sz w:val="22"/>
        </w:rPr>
        <w:t> </w:t>
      </w:r>
      <w:r>
        <w:rPr>
          <w:sz w:val="22"/>
        </w:rPr>
        <w:t>to</w:t>
      </w:r>
      <w:r>
        <w:rPr>
          <w:spacing w:val="-3"/>
          <w:sz w:val="22"/>
        </w:rPr>
        <w:t> </w:t>
      </w:r>
      <w:r>
        <w:rPr>
          <w:sz w:val="22"/>
        </w:rPr>
        <w:t>12,755</w:t>
      </w:r>
      <w:r>
        <w:rPr>
          <w:spacing w:val="-4"/>
          <w:sz w:val="22"/>
        </w:rPr>
        <w:t> </w:t>
      </w:r>
      <w:r>
        <w:rPr>
          <w:sz w:val="22"/>
        </w:rPr>
        <w:t>workers</w:t>
      </w:r>
      <w:r>
        <w:rPr>
          <w:spacing w:val="-2"/>
          <w:sz w:val="22"/>
        </w:rPr>
        <w:t> </w:t>
      </w:r>
      <w:r>
        <w:rPr>
          <w:sz w:val="22"/>
        </w:rPr>
        <w:t>in</w:t>
      </w:r>
      <w:r>
        <w:rPr>
          <w:spacing w:val="-3"/>
          <w:sz w:val="22"/>
        </w:rPr>
        <w:t> </w:t>
      </w:r>
      <w:r>
        <w:rPr>
          <w:sz w:val="22"/>
        </w:rPr>
        <w:t>June </w:t>
      </w:r>
      <w:r>
        <w:rPr>
          <w:spacing w:val="-2"/>
          <w:sz w:val="22"/>
        </w:rPr>
        <w:t>2024.</w:t>
      </w:r>
    </w:p>
    <w:p>
      <w:pPr>
        <w:spacing w:before="118"/>
        <w:ind w:left="115" w:right="567" w:firstLine="0"/>
        <w:jc w:val="left"/>
        <w:rPr>
          <w:sz w:val="22"/>
        </w:rPr>
      </w:pPr>
      <w:r>
        <w:rPr>
          <w:sz w:val="22"/>
        </w:rPr>
        <w:t>The</w:t>
      </w:r>
      <w:r>
        <w:rPr>
          <w:spacing w:val="-3"/>
          <w:sz w:val="22"/>
        </w:rPr>
        <w:t> </w:t>
      </w:r>
      <w:r>
        <w:rPr>
          <w:sz w:val="22"/>
        </w:rPr>
        <w:t>compositional</w:t>
      </w:r>
      <w:r>
        <w:rPr>
          <w:spacing w:val="-2"/>
          <w:sz w:val="22"/>
        </w:rPr>
        <w:t> </w:t>
      </w:r>
      <w:r>
        <w:rPr>
          <w:sz w:val="22"/>
        </w:rPr>
        <w:t>shift</w:t>
      </w:r>
      <w:r>
        <w:rPr>
          <w:spacing w:val="-4"/>
          <w:sz w:val="22"/>
        </w:rPr>
        <w:t> </w:t>
      </w:r>
      <w:r>
        <w:rPr>
          <w:sz w:val="22"/>
        </w:rPr>
        <w:t>to</w:t>
      </w:r>
      <w:r>
        <w:rPr>
          <w:spacing w:val="-3"/>
          <w:sz w:val="22"/>
        </w:rPr>
        <w:t> </w:t>
      </w:r>
      <w:r>
        <w:rPr>
          <w:sz w:val="22"/>
        </w:rPr>
        <w:t>long-term</w:t>
      </w:r>
      <w:r>
        <w:rPr>
          <w:spacing w:val="-4"/>
          <w:sz w:val="22"/>
        </w:rPr>
        <w:t> </w:t>
      </w:r>
      <w:r>
        <w:rPr>
          <w:sz w:val="22"/>
        </w:rPr>
        <w:t>work</w:t>
      </w:r>
      <w:r>
        <w:rPr>
          <w:spacing w:val="-2"/>
          <w:sz w:val="22"/>
        </w:rPr>
        <w:t> </w:t>
      </w:r>
      <w:r>
        <w:rPr>
          <w:sz w:val="22"/>
        </w:rPr>
        <w:t>in</w:t>
      </w:r>
      <w:r>
        <w:rPr>
          <w:spacing w:val="-5"/>
          <w:sz w:val="22"/>
        </w:rPr>
        <w:t> </w:t>
      </w:r>
      <w:r>
        <w:rPr>
          <w:sz w:val="22"/>
        </w:rPr>
        <w:t>the</w:t>
      </w:r>
      <w:r>
        <w:rPr>
          <w:spacing w:val="-5"/>
          <w:sz w:val="22"/>
        </w:rPr>
        <w:t> </w:t>
      </w:r>
      <w:r>
        <w:rPr>
          <w:sz w:val="22"/>
        </w:rPr>
        <w:t>scheme</w:t>
      </w:r>
      <w:r>
        <w:rPr>
          <w:spacing w:val="-2"/>
          <w:sz w:val="22"/>
        </w:rPr>
        <w:t> </w:t>
      </w:r>
      <w:r>
        <w:rPr>
          <w:sz w:val="22"/>
        </w:rPr>
        <w:t>likely</w:t>
      </w:r>
      <w:r>
        <w:rPr>
          <w:spacing w:val="-3"/>
          <w:sz w:val="22"/>
        </w:rPr>
        <w:t> </w:t>
      </w:r>
      <w:r>
        <w:rPr>
          <w:sz w:val="22"/>
        </w:rPr>
        <w:t>reflects</w:t>
      </w:r>
      <w:r>
        <w:rPr>
          <w:spacing w:val="-2"/>
          <w:sz w:val="22"/>
        </w:rPr>
        <w:t> </w:t>
      </w:r>
      <w:r>
        <w:rPr>
          <w:sz w:val="22"/>
        </w:rPr>
        <w:t>a</w:t>
      </w:r>
      <w:r>
        <w:rPr>
          <w:spacing w:val="-5"/>
          <w:sz w:val="22"/>
        </w:rPr>
        <w:t> </w:t>
      </w:r>
      <w:r>
        <w:rPr>
          <w:sz w:val="22"/>
        </w:rPr>
        <w:t>range</w:t>
      </w:r>
      <w:r>
        <w:rPr>
          <w:spacing w:val="-3"/>
          <w:sz w:val="22"/>
        </w:rPr>
        <w:t> </w:t>
      </w:r>
      <w:r>
        <w:rPr>
          <w:sz w:val="22"/>
        </w:rPr>
        <w:t>of</w:t>
      </w:r>
      <w:r>
        <w:rPr>
          <w:spacing w:val="-2"/>
          <w:sz w:val="22"/>
        </w:rPr>
        <w:t> </w:t>
      </w:r>
      <w:r>
        <w:rPr>
          <w:sz w:val="22"/>
        </w:rPr>
        <w:t>factors, </w:t>
      </w:r>
      <w:r>
        <w:rPr>
          <w:spacing w:val="-2"/>
          <w:sz w:val="22"/>
        </w:rPr>
        <w:t>including:</w:t>
      </w:r>
    </w:p>
    <w:p>
      <w:pPr>
        <w:pStyle w:val="ListParagraph"/>
        <w:numPr>
          <w:ilvl w:val="1"/>
          <w:numId w:val="1"/>
        </w:numPr>
        <w:tabs>
          <w:tab w:pos="835" w:val="left" w:leader="none"/>
        </w:tabs>
        <w:spacing w:line="240" w:lineRule="auto" w:before="123" w:after="0"/>
        <w:ind w:left="835" w:right="897" w:hanging="360"/>
        <w:jc w:val="left"/>
        <w:rPr>
          <w:rFonts w:ascii="Symbol" w:hAnsi="Symbol"/>
          <w:sz w:val="22"/>
        </w:rPr>
      </w:pPr>
      <w:r>
        <w:rPr>
          <w:sz w:val="22"/>
        </w:rPr>
        <w:t>the</w:t>
      </w:r>
      <w:r>
        <w:rPr>
          <w:spacing w:val="-3"/>
          <w:sz w:val="22"/>
        </w:rPr>
        <w:t> </w:t>
      </w:r>
      <w:r>
        <w:rPr>
          <w:sz w:val="22"/>
        </w:rPr>
        <w:t>expected</w:t>
      </w:r>
      <w:r>
        <w:rPr>
          <w:spacing w:val="-5"/>
          <w:sz w:val="22"/>
        </w:rPr>
        <w:t> </w:t>
      </w:r>
      <w:r>
        <w:rPr>
          <w:sz w:val="22"/>
        </w:rPr>
        <w:t>decline</w:t>
      </w:r>
      <w:r>
        <w:rPr>
          <w:spacing w:val="-3"/>
          <w:sz w:val="22"/>
        </w:rPr>
        <w:t> </w:t>
      </w:r>
      <w:r>
        <w:rPr>
          <w:sz w:val="22"/>
        </w:rPr>
        <w:t>of</w:t>
      </w:r>
      <w:r>
        <w:rPr>
          <w:spacing w:val="-2"/>
          <w:sz w:val="22"/>
        </w:rPr>
        <w:t> </w:t>
      </w:r>
      <w:r>
        <w:rPr>
          <w:sz w:val="22"/>
        </w:rPr>
        <w:t>408</w:t>
      </w:r>
      <w:r>
        <w:rPr>
          <w:spacing w:val="-2"/>
          <w:sz w:val="22"/>
        </w:rPr>
        <w:t> </w:t>
      </w:r>
      <w:r>
        <w:rPr>
          <w:sz w:val="22"/>
        </w:rPr>
        <w:t>pandemic</w:t>
      </w:r>
      <w:r>
        <w:rPr>
          <w:spacing w:val="-1"/>
          <w:sz w:val="22"/>
        </w:rPr>
        <w:t> </w:t>
      </w:r>
      <w:r>
        <w:rPr>
          <w:sz w:val="22"/>
        </w:rPr>
        <w:t>event</w:t>
      </w:r>
      <w:r>
        <w:rPr>
          <w:spacing w:val="-4"/>
          <w:sz w:val="22"/>
        </w:rPr>
        <w:t> </w:t>
      </w:r>
      <w:r>
        <w:rPr>
          <w:sz w:val="22"/>
        </w:rPr>
        <w:t>visa</w:t>
      </w:r>
      <w:r>
        <w:rPr>
          <w:spacing w:val="-3"/>
          <w:sz w:val="22"/>
        </w:rPr>
        <w:t> </w:t>
      </w:r>
      <w:r>
        <w:rPr>
          <w:sz w:val="22"/>
        </w:rPr>
        <w:t>holders</w:t>
      </w:r>
      <w:r>
        <w:rPr>
          <w:spacing w:val="-2"/>
          <w:sz w:val="22"/>
        </w:rPr>
        <w:t> </w:t>
      </w:r>
      <w:r>
        <w:rPr>
          <w:sz w:val="22"/>
        </w:rPr>
        <w:t>in</w:t>
      </w:r>
      <w:r>
        <w:rPr>
          <w:spacing w:val="-3"/>
          <w:sz w:val="22"/>
        </w:rPr>
        <w:t> </w:t>
      </w:r>
      <w:r>
        <w:rPr>
          <w:sz w:val="22"/>
        </w:rPr>
        <w:t>the</w:t>
      </w:r>
      <w:r>
        <w:rPr>
          <w:spacing w:val="-5"/>
          <w:sz w:val="22"/>
        </w:rPr>
        <w:t> </w:t>
      </w:r>
      <w:r>
        <w:rPr>
          <w:sz w:val="22"/>
        </w:rPr>
        <w:t>scheme</w:t>
      </w:r>
      <w:r>
        <w:rPr>
          <w:spacing w:val="-4"/>
          <w:sz w:val="22"/>
        </w:rPr>
        <w:t> </w:t>
      </w:r>
      <w:r>
        <w:rPr>
          <w:sz w:val="22"/>
        </w:rPr>
        <w:t>(almost</w:t>
      </w:r>
      <w:r>
        <w:rPr>
          <w:spacing w:val="-2"/>
          <w:sz w:val="22"/>
        </w:rPr>
        <w:t> </w:t>
      </w:r>
      <w:r>
        <w:rPr>
          <w:sz w:val="22"/>
        </w:rPr>
        <w:t>all</w:t>
      </w:r>
      <w:r>
        <w:rPr>
          <w:spacing w:val="-3"/>
          <w:sz w:val="22"/>
        </w:rPr>
        <w:t> </w:t>
      </w:r>
      <w:r>
        <w:rPr>
          <w:sz w:val="22"/>
        </w:rPr>
        <w:t>of whom were in short-term agricultural roles)</w:t>
      </w:r>
    </w:p>
    <w:p>
      <w:pPr>
        <w:pStyle w:val="ListParagraph"/>
        <w:numPr>
          <w:ilvl w:val="1"/>
          <w:numId w:val="1"/>
        </w:numPr>
        <w:tabs>
          <w:tab w:pos="835" w:val="left" w:leader="none"/>
        </w:tabs>
        <w:spacing w:line="240" w:lineRule="auto" w:before="120" w:after="0"/>
        <w:ind w:left="835" w:right="856" w:hanging="360"/>
        <w:jc w:val="left"/>
        <w:rPr>
          <w:rFonts w:ascii="Symbol" w:hAnsi="Symbol"/>
          <w:sz w:val="22"/>
        </w:rPr>
      </w:pPr>
      <w:r>
        <w:rPr>
          <w:sz w:val="22"/>
        </w:rPr>
        <w:t>growth in new sectors that are experiencing domestic labour shortages (such as Meat processing)</w:t>
      </w:r>
      <w:r>
        <w:rPr>
          <w:spacing w:val="-4"/>
          <w:sz w:val="22"/>
        </w:rPr>
        <w:t> </w:t>
      </w:r>
      <w:r>
        <w:rPr>
          <w:sz w:val="22"/>
        </w:rPr>
        <w:t>that</w:t>
      </w:r>
      <w:r>
        <w:rPr>
          <w:spacing w:val="-2"/>
          <w:sz w:val="22"/>
        </w:rPr>
        <w:t> </w:t>
      </w:r>
      <w:r>
        <w:rPr>
          <w:sz w:val="22"/>
        </w:rPr>
        <w:t>are</w:t>
      </w:r>
      <w:r>
        <w:rPr>
          <w:spacing w:val="-3"/>
          <w:sz w:val="22"/>
        </w:rPr>
        <w:t> </w:t>
      </w:r>
      <w:r>
        <w:rPr>
          <w:sz w:val="22"/>
        </w:rPr>
        <w:t>not</w:t>
      </w:r>
      <w:r>
        <w:rPr>
          <w:spacing w:val="-5"/>
          <w:sz w:val="22"/>
        </w:rPr>
        <w:t> </w:t>
      </w:r>
      <w:r>
        <w:rPr>
          <w:sz w:val="22"/>
        </w:rPr>
        <w:t>seasonal</w:t>
      </w:r>
      <w:r>
        <w:rPr>
          <w:spacing w:val="-3"/>
          <w:sz w:val="22"/>
        </w:rPr>
        <w:t> </w:t>
      </w:r>
      <w:r>
        <w:rPr>
          <w:sz w:val="22"/>
        </w:rPr>
        <w:t>and</w:t>
      </w:r>
      <w:r>
        <w:rPr>
          <w:spacing w:val="-1"/>
          <w:sz w:val="22"/>
        </w:rPr>
        <w:t> </w:t>
      </w:r>
      <w:r>
        <w:rPr>
          <w:sz w:val="22"/>
        </w:rPr>
        <w:t>require</w:t>
      </w:r>
      <w:r>
        <w:rPr>
          <w:spacing w:val="-3"/>
          <w:sz w:val="22"/>
        </w:rPr>
        <w:t> </w:t>
      </w:r>
      <w:r>
        <w:rPr>
          <w:sz w:val="22"/>
        </w:rPr>
        <w:t>a</w:t>
      </w:r>
      <w:r>
        <w:rPr>
          <w:spacing w:val="-2"/>
          <w:sz w:val="22"/>
        </w:rPr>
        <w:t> </w:t>
      </w:r>
      <w:r>
        <w:rPr>
          <w:sz w:val="22"/>
        </w:rPr>
        <w:t>consistent</w:t>
      </w:r>
      <w:r>
        <w:rPr>
          <w:spacing w:val="-2"/>
          <w:sz w:val="22"/>
        </w:rPr>
        <w:t> </w:t>
      </w:r>
      <w:r>
        <w:rPr>
          <w:sz w:val="22"/>
        </w:rPr>
        <w:t>longer</w:t>
      </w:r>
      <w:r>
        <w:rPr>
          <w:spacing w:val="-5"/>
          <w:sz w:val="22"/>
        </w:rPr>
        <w:t> </w:t>
      </w:r>
      <w:r>
        <w:rPr>
          <w:sz w:val="22"/>
        </w:rPr>
        <w:t>term</w:t>
      </w:r>
      <w:r>
        <w:rPr>
          <w:spacing w:val="-5"/>
          <w:sz w:val="22"/>
        </w:rPr>
        <w:t> </w:t>
      </w:r>
      <w:r>
        <w:rPr>
          <w:sz w:val="22"/>
        </w:rPr>
        <w:t>workforce,</w:t>
      </w:r>
      <w:r>
        <w:rPr>
          <w:spacing w:val="-5"/>
          <w:sz w:val="22"/>
        </w:rPr>
        <w:t> </w:t>
      </w:r>
      <w:r>
        <w:rPr>
          <w:sz w:val="22"/>
        </w:rPr>
        <w:t>and</w:t>
      </w:r>
    </w:p>
    <w:p>
      <w:pPr>
        <w:pStyle w:val="ListParagraph"/>
        <w:numPr>
          <w:ilvl w:val="1"/>
          <w:numId w:val="1"/>
        </w:numPr>
        <w:tabs>
          <w:tab w:pos="835" w:val="left" w:leader="none"/>
        </w:tabs>
        <w:spacing w:line="240" w:lineRule="auto" w:before="118" w:after="0"/>
        <w:ind w:left="835" w:right="766" w:hanging="360"/>
        <w:jc w:val="left"/>
        <w:rPr>
          <w:rFonts w:ascii="Symbol" w:hAnsi="Symbol"/>
          <w:sz w:val="20"/>
        </w:rPr>
      </w:pPr>
      <w:r>
        <w:rPr>
          <w:sz w:val="22"/>
        </w:rPr>
        <w:t>employer</w:t>
      </w:r>
      <w:r>
        <w:rPr>
          <w:spacing w:val="-2"/>
          <w:sz w:val="22"/>
        </w:rPr>
        <w:t> </w:t>
      </w:r>
      <w:r>
        <w:rPr>
          <w:sz w:val="22"/>
        </w:rPr>
        <w:t>and</w:t>
      </w:r>
      <w:r>
        <w:rPr>
          <w:spacing w:val="-3"/>
          <w:sz w:val="22"/>
        </w:rPr>
        <w:t> </w:t>
      </w:r>
      <w:r>
        <w:rPr>
          <w:sz w:val="22"/>
        </w:rPr>
        <w:t>worker</w:t>
      </w:r>
      <w:r>
        <w:rPr>
          <w:spacing w:val="-4"/>
          <w:sz w:val="22"/>
        </w:rPr>
        <w:t> </w:t>
      </w:r>
      <w:r>
        <w:rPr>
          <w:sz w:val="22"/>
        </w:rPr>
        <w:t>behaviours</w:t>
      </w:r>
      <w:r>
        <w:rPr>
          <w:spacing w:val="-1"/>
          <w:sz w:val="22"/>
        </w:rPr>
        <w:t> </w:t>
      </w:r>
      <w:r>
        <w:rPr>
          <w:sz w:val="22"/>
        </w:rPr>
        <w:t>may</w:t>
      </w:r>
      <w:r>
        <w:rPr>
          <w:spacing w:val="-3"/>
          <w:sz w:val="22"/>
        </w:rPr>
        <w:t> </w:t>
      </w:r>
      <w:r>
        <w:rPr>
          <w:sz w:val="22"/>
        </w:rPr>
        <w:t>be</w:t>
      </w:r>
      <w:r>
        <w:rPr>
          <w:spacing w:val="-2"/>
          <w:sz w:val="22"/>
        </w:rPr>
        <w:t> </w:t>
      </w:r>
      <w:r>
        <w:rPr>
          <w:sz w:val="22"/>
        </w:rPr>
        <w:t>changing,</w:t>
      </w:r>
      <w:r>
        <w:rPr>
          <w:spacing w:val="-2"/>
          <w:sz w:val="22"/>
        </w:rPr>
        <w:t> </w:t>
      </w:r>
      <w:r>
        <w:rPr>
          <w:sz w:val="22"/>
        </w:rPr>
        <w:t>such</w:t>
      </w:r>
      <w:r>
        <w:rPr>
          <w:spacing w:val="-2"/>
          <w:sz w:val="22"/>
        </w:rPr>
        <w:t> </w:t>
      </w:r>
      <w:r>
        <w:rPr>
          <w:sz w:val="22"/>
        </w:rPr>
        <w:t>as</w:t>
      </w:r>
      <w:r>
        <w:rPr>
          <w:spacing w:val="-5"/>
          <w:sz w:val="22"/>
        </w:rPr>
        <w:t> </w:t>
      </w:r>
      <w:r>
        <w:rPr>
          <w:sz w:val="22"/>
        </w:rPr>
        <w:t>the</w:t>
      </w:r>
      <w:r>
        <w:rPr>
          <w:spacing w:val="-3"/>
          <w:sz w:val="22"/>
        </w:rPr>
        <w:t> </w:t>
      </w:r>
      <w:r>
        <w:rPr>
          <w:sz w:val="22"/>
        </w:rPr>
        <w:t>employer</w:t>
      </w:r>
      <w:r>
        <w:rPr>
          <w:spacing w:val="-6"/>
          <w:sz w:val="22"/>
        </w:rPr>
        <w:t> </w:t>
      </w:r>
      <w:r>
        <w:rPr>
          <w:sz w:val="22"/>
        </w:rPr>
        <w:t>preference</w:t>
      </w:r>
      <w:r>
        <w:rPr>
          <w:spacing w:val="-5"/>
          <w:sz w:val="22"/>
        </w:rPr>
        <w:t> </w:t>
      </w:r>
      <w:r>
        <w:rPr>
          <w:sz w:val="22"/>
        </w:rPr>
        <w:t>to avoid the churn of short-term workforces, and worker preferences for longer term </w:t>
      </w:r>
      <w:r>
        <w:rPr>
          <w:spacing w:val="-2"/>
          <w:sz w:val="22"/>
        </w:rPr>
        <w:t>placements.</w:t>
      </w:r>
    </w:p>
    <w:p>
      <w:pPr>
        <w:pStyle w:val="BodyText"/>
        <w:spacing w:before="104"/>
        <w:rPr>
          <w:sz w:val="22"/>
        </w:rPr>
      </w:pPr>
    </w:p>
    <w:p>
      <w:pPr>
        <w:pStyle w:val="Heading2"/>
      </w:pPr>
      <w:r>
        <w:rPr>
          <w:color w:val="242A82"/>
        </w:rPr>
        <w:t>PALM</w:t>
      </w:r>
      <w:r>
        <w:rPr>
          <w:color w:val="242A82"/>
          <w:spacing w:val="-6"/>
        </w:rPr>
        <w:t> </w:t>
      </w:r>
      <w:r>
        <w:rPr>
          <w:color w:val="242A82"/>
        </w:rPr>
        <w:t>employer</w:t>
      </w:r>
      <w:r>
        <w:rPr>
          <w:color w:val="242A82"/>
          <w:spacing w:val="-6"/>
        </w:rPr>
        <w:t> </w:t>
      </w:r>
      <w:r>
        <w:rPr>
          <w:color w:val="242A82"/>
        </w:rPr>
        <w:t>trends</w:t>
      </w:r>
      <w:r>
        <w:rPr>
          <w:color w:val="242A82"/>
          <w:spacing w:val="-5"/>
        </w:rPr>
        <w:t> </w:t>
      </w:r>
      <w:r>
        <w:rPr>
          <w:color w:val="242A82"/>
        </w:rPr>
        <w:t>(since</w:t>
      </w:r>
      <w:r>
        <w:rPr>
          <w:color w:val="242A82"/>
          <w:spacing w:val="-3"/>
        </w:rPr>
        <w:t> </w:t>
      </w:r>
      <w:r>
        <w:rPr>
          <w:color w:val="242A82"/>
        </w:rPr>
        <w:t>July</w:t>
      </w:r>
      <w:r>
        <w:rPr>
          <w:color w:val="242A82"/>
          <w:spacing w:val="-5"/>
        </w:rPr>
        <w:t> </w:t>
      </w:r>
      <w:r>
        <w:rPr>
          <w:color w:val="242A82"/>
          <w:spacing w:val="-4"/>
        </w:rPr>
        <w:t>2023)</w:t>
      </w:r>
    </w:p>
    <w:p>
      <w:pPr>
        <w:spacing w:before="122"/>
        <w:ind w:left="115" w:right="0" w:firstLine="0"/>
        <w:jc w:val="left"/>
        <w:rPr>
          <w:sz w:val="22"/>
        </w:rPr>
      </w:pPr>
      <w:r>
        <w:rPr>
          <w:sz w:val="22"/>
        </w:rPr>
        <w:t>The</w:t>
      </w:r>
      <w:r>
        <w:rPr>
          <w:spacing w:val="-3"/>
          <w:sz w:val="22"/>
        </w:rPr>
        <w:t> </w:t>
      </w:r>
      <w:r>
        <w:rPr>
          <w:sz w:val="22"/>
        </w:rPr>
        <w:t>number</w:t>
      </w:r>
      <w:r>
        <w:rPr>
          <w:spacing w:val="-1"/>
          <w:sz w:val="22"/>
        </w:rPr>
        <w:t> </w:t>
      </w:r>
      <w:r>
        <w:rPr>
          <w:sz w:val="22"/>
        </w:rPr>
        <w:t>of</w:t>
      </w:r>
      <w:r>
        <w:rPr>
          <w:spacing w:val="-2"/>
          <w:sz w:val="22"/>
        </w:rPr>
        <w:t> </w:t>
      </w:r>
      <w:r>
        <w:rPr>
          <w:sz w:val="22"/>
        </w:rPr>
        <w:t>PALM</w:t>
      </w:r>
      <w:r>
        <w:rPr>
          <w:spacing w:val="-5"/>
          <w:sz w:val="22"/>
        </w:rPr>
        <w:t> </w:t>
      </w:r>
      <w:r>
        <w:rPr>
          <w:sz w:val="22"/>
        </w:rPr>
        <w:t>scheme</w:t>
      </w:r>
      <w:r>
        <w:rPr>
          <w:spacing w:val="-2"/>
          <w:sz w:val="22"/>
        </w:rPr>
        <w:t> </w:t>
      </w:r>
      <w:r>
        <w:rPr>
          <w:sz w:val="22"/>
        </w:rPr>
        <w:t>employers</w:t>
      </w:r>
      <w:r>
        <w:rPr>
          <w:spacing w:val="-2"/>
          <w:sz w:val="22"/>
        </w:rPr>
        <w:t> </w:t>
      </w:r>
      <w:r>
        <w:rPr>
          <w:sz w:val="22"/>
        </w:rPr>
        <w:t>has</w:t>
      </w:r>
      <w:r>
        <w:rPr>
          <w:spacing w:val="-2"/>
          <w:sz w:val="22"/>
        </w:rPr>
        <w:t> </w:t>
      </w:r>
      <w:r>
        <w:rPr>
          <w:sz w:val="22"/>
        </w:rPr>
        <w:t>continued</w:t>
      </w:r>
      <w:r>
        <w:rPr>
          <w:spacing w:val="-3"/>
          <w:sz w:val="22"/>
        </w:rPr>
        <w:t> </w:t>
      </w:r>
      <w:r>
        <w:rPr>
          <w:sz w:val="22"/>
        </w:rPr>
        <w:t>to</w:t>
      </w:r>
      <w:r>
        <w:rPr>
          <w:spacing w:val="-3"/>
          <w:sz w:val="22"/>
        </w:rPr>
        <w:t> </w:t>
      </w:r>
      <w:r>
        <w:rPr>
          <w:sz w:val="22"/>
        </w:rPr>
        <w:t>grow</w:t>
      </w:r>
      <w:r>
        <w:rPr>
          <w:spacing w:val="-1"/>
          <w:sz w:val="22"/>
        </w:rPr>
        <w:t> </w:t>
      </w:r>
      <w:r>
        <w:rPr>
          <w:sz w:val="22"/>
        </w:rPr>
        <w:t>since</w:t>
      </w:r>
      <w:r>
        <w:rPr>
          <w:spacing w:val="-4"/>
          <w:sz w:val="22"/>
        </w:rPr>
        <w:t> </w:t>
      </w:r>
      <w:r>
        <w:rPr>
          <w:sz w:val="22"/>
        </w:rPr>
        <w:t>the</w:t>
      </w:r>
      <w:r>
        <w:rPr>
          <w:spacing w:val="-3"/>
          <w:sz w:val="22"/>
        </w:rPr>
        <w:t> </w:t>
      </w:r>
      <w:r>
        <w:rPr>
          <w:sz w:val="22"/>
        </w:rPr>
        <w:t>new</w:t>
      </w:r>
      <w:r>
        <w:rPr>
          <w:spacing w:val="-1"/>
          <w:sz w:val="22"/>
        </w:rPr>
        <w:t> </w:t>
      </w:r>
      <w:r>
        <w:rPr>
          <w:sz w:val="22"/>
        </w:rPr>
        <w:t>PALM</w:t>
      </w:r>
      <w:r>
        <w:rPr>
          <w:spacing w:val="-2"/>
          <w:sz w:val="22"/>
        </w:rPr>
        <w:t> </w:t>
      </w:r>
      <w:r>
        <w:rPr>
          <w:sz w:val="22"/>
        </w:rPr>
        <w:t>Deed</w:t>
      </w:r>
      <w:r>
        <w:rPr>
          <w:spacing w:val="-2"/>
          <w:sz w:val="22"/>
        </w:rPr>
        <w:t> </w:t>
      </w:r>
      <w:r>
        <w:rPr>
          <w:sz w:val="22"/>
        </w:rPr>
        <w:t>and Guidelines were introduced in July 2023.</w:t>
      </w:r>
    </w:p>
    <w:p>
      <w:pPr>
        <w:pStyle w:val="ListParagraph"/>
        <w:numPr>
          <w:ilvl w:val="1"/>
          <w:numId w:val="1"/>
        </w:numPr>
        <w:tabs>
          <w:tab w:pos="835" w:val="left" w:leader="none"/>
        </w:tabs>
        <w:spacing w:line="240" w:lineRule="auto" w:before="120" w:after="0"/>
        <w:ind w:left="835" w:right="654" w:hanging="360"/>
        <w:jc w:val="left"/>
        <w:rPr>
          <w:rFonts w:ascii="Symbol" w:hAnsi="Symbol"/>
          <w:sz w:val="22"/>
        </w:rPr>
      </w:pPr>
      <w:r>
        <w:rPr>
          <w:sz w:val="22"/>
        </w:rPr>
        <w:t>86</w:t>
      </w:r>
      <w:r>
        <w:rPr>
          <w:spacing w:val="-3"/>
          <w:sz w:val="22"/>
        </w:rPr>
        <w:t> </w:t>
      </w:r>
      <w:r>
        <w:rPr>
          <w:sz w:val="22"/>
        </w:rPr>
        <w:t>new</w:t>
      </w:r>
      <w:r>
        <w:rPr>
          <w:spacing w:val="-1"/>
          <w:sz w:val="22"/>
        </w:rPr>
        <w:t> </w:t>
      </w:r>
      <w:r>
        <w:rPr>
          <w:sz w:val="22"/>
        </w:rPr>
        <w:t>employers</w:t>
      </w:r>
      <w:r>
        <w:rPr>
          <w:spacing w:val="-2"/>
          <w:sz w:val="22"/>
        </w:rPr>
        <w:t> </w:t>
      </w:r>
      <w:r>
        <w:rPr>
          <w:sz w:val="22"/>
        </w:rPr>
        <w:t>have</w:t>
      </w:r>
      <w:r>
        <w:rPr>
          <w:spacing w:val="-5"/>
          <w:sz w:val="22"/>
        </w:rPr>
        <w:t> </w:t>
      </w:r>
      <w:r>
        <w:rPr>
          <w:sz w:val="22"/>
        </w:rPr>
        <w:t>joined</w:t>
      </w:r>
      <w:r>
        <w:rPr>
          <w:spacing w:val="-3"/>
          <w:sz w:val="22"/>
        </w:rPr>
        <w:t> </w:t>
      </w:r>
      <w:r>
        <w:rPr>
          <w:sz w:val="22"/>
        </w:rPr>
        <w:t>the</w:t>
      </w:r>
      <w:r>
        <w:rPr>
          <w:spacing w:val="-3"/>
          <w:sz w:val="22"/>
        </w:rPr>
        <w:t> </w:t>
      </w:r>
      <w:r>
        <w:rPr>
          <w:sz w:val="22"/>
        </w:rPr>
        <w:t>scheme</w:t>
      </w:r>
      <w:r>
        <w:rPr>
          <w:spacing w:val="-5"/>
          <w:sz w:val="22"/>
        </w:rPr>
        <w:t> </w:t>
      </w:r>
      <w:r>
        <w:rPr>
          <w:sz w:val="22"/>
        </w:rPr>
        <w:t>since</w:t>
      </w:r>
      <w:r>
        <w:rPr>
          <w:spacing w:val="-4"/>
          <w:sz w:val="22"/>
        </w:rPr>
        <w:t> </w:t>
      </w:r>
      <w:r>
        <w:rPr>
          <w:sz w:val="22"/>
        </w:rPr>
        <w:t>July</w:t>
      </w:r>
      <w:r>
        <w:rPr>
          <w:spacing w:val="-3"/>
          <w:sz w:val="22"/>
        </w:rPr>
        <w:t> </w:t>
      </w:r>
      <w:r>
        <w:rPr>
          <w:sz w:val="22"/>
        </w:rPr>
        <w:t>2023,</w:t>
      </w:r>
      <w:r>
        <w:rPr>
          <w:spacing w:val="-1"/>
          <w:sz w:val="22"/>
        </w:rPr>
        <w:t> </w:t>
      </w:r>
      <w:r>
        <w:rPr>
          <w:sz w:val="22"/>
        </w:rPr>
        <w:t>bringing</w:t>
      </w:r>
      <w:r>
        <w:rPr>
          <w:spacing w:val="-5"/>
          <w:sz w:val="22"/>
        </w:rPr>
        <w:t> </w:t>
      </w:r>
      <w:r>
        <w:rPr>
          <w:sz w:val="22"/>
        </w:rPr>
        <w:t>the</w:t>
      </w:r>
      <w:r>
        <w:rPr>
          <w:spacing w:val="-5"/>
          <w:sz w:val="22"/>
        </w:rPr>
        <w:t> </w:t>
      </w:r>
      <w:r>
        <w:rPr>
          <w:sz w:val="22"/>
        </w:rPr>
        <w:t>total</w:t>
      </w:r>
      <w:r>
        <w:rPr>
          <w:spacing w:val="-2"/>
          <w:sz w:val="22"/>
        </w:rPr>
        <w:t> </w:t>
      </w:r>
      <w:r>
        <w:rPr>
          <w:sz w:val="22"/>
        </w:rPr>
        <w:t>number</w:t>
      </w:r>
      <w:r>
        <w:rPr>
          <w:spacing w:val="-1"/>
          <w:sz w:val="22"/>
        </w:rPr>
        <w:t> </w:t>
      </w:r>
      <w:r>
        <w:rPr>
          <w:sz w:val="22"/>
        </w:rPr>
        <w:t>of employers to 479 in June 2024, a record high since the commencement of the PALM scheme (and predecessor schemes).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line="185" w:lineRule="exact" w:before="0"/>
        <w:ind w:left="9556" w:right="0" w:firstLine="0"/>
        <w:jc w:val="left"/>
        <w:rPr>
          <w:sz w:val="16"/>
        </w:rPr>
      </w:pPr>
      <w:r>
        <w:rPr>
          <w:color w:val="242A82"/>
          <w:spacing w:val="-10"/>
          <w:sz w:val="16"/>
        </w:rPr>
        <w:t>3</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Heading1"/>
        <w:numPr>
          <w:ilvl w:val="0"/>
          <w:numId w:val="1"/>
        </w:numPr>
        <w:tabs>
          <w:tab w:pos="541" w:val="left" w:leader="none"/>
        </w:tabs>
        <w:spacing w:line="240" w:lineRule="auto" w:before="90" w:after="0"/>
        <w:ind w:left="541" w:right="0" w:hanging="426"/>
        <w:jc w:val="left"/>
      </w:pPr>
      <w:r>
        <w:rPr/>
        <w:drawing>
          <wp:anchor distT="0" distB="0" distL="0" distR="0" allowOverlap="1" layoutInCell="1" locked="0" behindDoc="1" simplePos="0" relativeHeight="487225344">
            <wp:simplePos x="0" y="0"/>
            <wp:positionH relativeFrom="page">
              <wp:posOffset>0</wp:posOffset>
            </wp:positionH>
            <wp:positionV relativeFrom="page">
              <wp:posOffset>60</wp:posOffset>
            </wp:positionV>
            <wp:extent cx="7560564" cy="1065745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7560564" cy="10657459"/>
                    </a:xfrm>
                    <a:prstGeom prst="rect">
                      <a:avLst/>
                    </a:prstGeom>
                  </pic:spPr>
                </pic:pic>
              </a:graphicData>
            </a:graphic>
          </wp:anchor>
        </w:drawing>
      </w:r>
      <w:r>
        <w:rPr>
          <w:color w:val="242A82"/>
        </w:rPr>
        <w:t>PALM</w:t>
      </w:r>
      <w:r>
        <w:rPr>
          <w:color w:val="242A82"/>
          <w:spacing w:val="-4"/>
        </w:rPr>
        <w:t> </w:t>
      </w:r>
      <w:r>
        <w:rPr>
          <w:color w:val="242A82"/>
        </w:rPr>
        <w:t>scheme</w:t>
      </w:r>
      <w:r>
        <w:rPr>
          <w:color w:val="242A82"/>
          <w:spacing w:val="-3"/>
        </w:rPr>
        <w:t> </w:t>
      </w:r>
      <w:r>
        <w:rPr>
          <w:color w:val="242A82"/>
          <w:spacing w:val="-2"/>
        </w:rPr>
        <w:t>trends</w:t>
      </w:r>
    </w:p>
    <w:p>
      <w:pPr>
        <w:spacing w:before="238"/>
        <w:ind w:left="115" w:right="765" w:firstLine="0"/>
        <w:jc w:val="left"/>
        <w:rPr>
          <w:sz w:val="22"/>
        </w:rPr>
      </w:pPr>
      <w:r>
        <w:rPr>
          <w:sz w:val="22"/>
        </w:rPr>
        <w:t>This</w:t>
      </w:r>
      <w:r>
        <w:rPr>
          <w:spacing w:val="-2"/>
          <w:sz w:val="22"/>
        </w:rPr>
        <w:t> </w:t>
      </w:r>
      <w:r>
        <w:rPr>
          <w:sz w:val="22"/>
        </w:rPr>
        <w:t>section</w:t>
      </w:r>
      <w:r>
        <w:rPr>
          <w:spacing w:val="-2"/>
          <w:sz w:val="22"/>
        </w:rPr>
        <w:t> </w:t>
      </w:r>
      <w:r>
        <w:rPr>
          <w:sz w:val="22"/>
        </w:rPr>
        <w:t>provides</w:t>
      </w:r>
      <w:r>
        <w:rPr>
          <w:spacing w:val="-2"/>
          <w:sz w:val="22"/>
        </w:rPr>
        <w:t> </w:t>
      </w:r>
      <w:r>
        <w:rPr>
          <w:sz w:val="22"/>
        </w:rPr>
        <w:t>in-depth</w:t>
      </w:r>
      <w:r>
        <w:rPr>
          <w:spacing w:val="-1"/>
          <w:sz w:val="22"/>
        </w:rPr>
        <w:t> </w:t>
      </w:r>
      <w:r>
        <w:rPr>
          <w:sz w:val="22"/>
        </w:rPr>
        <w:t>views</w:t>
      </w:r>
      <w:r>
        <w:rPr>
          <w:spacing w:val="-2"/>
          <w:sz w:val="22"/>
        </w:rPr>
        <w:t> </w:t>
      </w:r>
      <w:r>
        <w:rPr>
          <w:sz w:val="22"/>
        </w:rPr>
        <w:t>of</w:t>
      </w:r>
      <w:r>
        <w:rPr>
          <w:spacing w:val="-2"/>
          <w:sz w:val="22"/>
        </w:rPr>
        <w:t> </w:t>
      </w:r>
      <w:r>
        <w:rPr>
          <w:sz w:val="22"/>
        </w:rPr>
        <w:t>PALM</w:t>
      </w:r>
      <w:r>
        <w:rPr>
          <w:spacing w:val="-5"/>
          <w:sz w:val="22"/>
        </w:rPr>
        <w:t> </w:t>
      </w:r>
      <w:r>
        <w:rPr>
          <w:sz w:val="22"/>
        </w:rPr>
        <w:t>worker counts</w:t>
      </w:r>
      <w:r>
        <w:rPr>
          <w:spacing w:val="-2"/>
          <w:sz w:val="22"/>
        </w:rPr>
        <w:t> </w:t>
      </w:r>
      <w:r>
        <w:rPr>
          <w:sz w:val="22"/>
        </w:rPr>
        <w:t>by</w:t>
      </w:r>
      <w:r>
        <w:rPr>
          <w:spacing w:val="-5"/>
          <w:sz w:val="22"/>
        </w:rPr>
        <w:t> </w:t>
      </w:r>
      <w:r>
        <w:rPr>
          <w:sz w:val="22"/>
        </w:rPr>
        <w:t>country</w:t>
      </w:r>
      <w:r>
        <w:rPr>
          <w:spacing w:val="-5"/>
          <w:sz w:val="22"/>
        </w:rPr>
        <w:t> </w:t>
      </w:r>
      <w:r>
        <w:rPr>
          <w:sz w:val="22"/>
        </w:rPr>
        <w:t>of</w:t>
      </w:r>
      <w:r>
        <w:rPr>
          <w:spacing w:val="-2"/>
          <w:sz w:val="22"/>
        </w:rPr>
        <w:t> </w:t>
      </w:r>
      <w:r>
        <w:rPr>
          <w:sz w:val="22"/>
        </w:rPr>
        <w:t>origin</w:t>
      </w:r>
      <w:r>
        <w:rPr>
          <w:spacing w:val="-1"/>
          <w:sz w:val="22"/>
        </w:rPr>
        <w:t> </w:t>
      </w:r>
      <w:r>
        <w:rPr>
          <w:sz w:val="22"/>
        </w:rPr>
        <w:t>and</w:t>
      </w:r>
      <w:r>
        <w:rPr>
          <w:spacing w:val="-2"/>
          <w:sz w:val="22"/>
        </w:rPr>
        <w:t> </w:t>
      </w:r>
      <w:r>
        <w:rPr>
          <w:sz w:val="22"/>
        </w:rPr>
        <w:t>by </w:t>
      </w:r>
      <w:r>
        <w:rPr>
          <w:spacing w:val="-2"/>
          <w:sz w:val="22"/>
        </w:rPr>
        <w:t>industry.</w:t>
      </w:r>
    </w:p>
    <w:p>
      <w:pPr>
        <w:spacing w:line="255" w:lineRule="exact" w:before="241"/>
        <w:ind w:left="115" w:right="0" w:firstLine="0"/>
        <w:jc w:val="left"/>
        <w:rPr>
          <w:i/>
          <w:sz w:val="22"/>
        </w:rPr>
      </w:pPr>
      <w:r>
        <w:rPr>
          <w:i/>
          <w:sz w:val="22"/>
        </w:rPr>
        <w:t>Chart</w:t>
      </w:r>
      <w:r>
        <w:rPr>
          <w:i/>
          <w:spacing w:val="-4"/>
          <w:sz w:val="22"/>
        </w:rPr>
        <w:t> </w:t>
      </w:r>
      <w:r>
        <w:rPr>
          <w:i/>
          <w:spacing w:val="-2"/>
          <w:sz w:val="22"/>
        </w:rPr>
        <w:t>notes:</w:t>
      </w:r>
    </w:p>
    <w:p>
      <w:pPr>
        <w:spacing w:before="0"/>
        <w:ind w:left="115" w:right="567" w:firstLine="0"/>
        <w:jc w:val="left"/>
        <w:rPr>
          <w:sz w:val="22"/>
        </w:rPr>
      </w:pPr>
      <w:r>
        <w:rPr>
          <w:sz w:val="22"/>
        </w:rPr>
        <w:t>Most</w:t>
      </w:r>
      <w:r>
        <w:rPr>
          <w:spacing w:val="-1"/>
          <w:sz w:val="22"/>
        </w:rPr>
        <w:t> </w:t>
      </w:r>
      <w:r>
        <w:rPr>
          <w:sz w:val="22"/>
        </w:rPr>
        <w:t>of</w:t>
      </w:r>
      <w:r>
        <w:rPr>
          <w:spacing w:val="-3"/>
          <w:sz w:val="22"/>
        </w:rPr>
        <w:t> </w:t>
      </w:r>
      <w:r>
        <w:rPr>
          <w:sz w:val="22"/>
        </w:rPr>
        <w:t>the</w:t>
      </w:r>
      <w:r>
        <w:rPr>
          <w:spacing w:val="-4"/>
          <w:sz w:val="22"/>
        </w:rPr>
        <w:t> </w:t>
      </w:r>
      <w:r>
        <w:rPr>
          <w:sz w:val="22"/>
        </w:rPr>
        <w:t>charts</w:t>
      </w:r>
      <w:r>
        <w:rPr>
          <w:spacing w:val="-4"/>
          <w:sz w:val="22"/>
        </w:rPr>
        <w:t> </w:t>
      </w:r>
      <w:r>
        <w:rPr>
          <w:sz w:val="22"/>
        </w:rPr>
        <w:t>below</w:t>
      </w:r>
      <w:r>
        <w:rPr>
          <w:spacing w:val="-1"/>
          <w:sz w:val="22"/>
        </w:rPr>
        <w:t> </w:t>
      </w:r>
      <w:r>
        <w:rPr>
          <w:sz w:val="22"/>
        </w:rPr>
        <w:t>compare</w:t>
      </w:r>
      <w:r>
        <w:rPr>
          <w:spacing w:val="-2"/>
          <w:sz w:val="22"/>
        </w:rPr>
        <w:t> </w:t>
      </w:r>
      <w:r>
        <w:rPr>
          <w:sz w:val="22"/>
        </w:rPr>
        <w:t>worker</w:t>
      </w:r>
      <w:r>
        <w:rPr>
          <w:spacing w:val="-3"/>
          <w:sz w:val="22"/>
        </w:rPr>
        <w:t> </w:t>
      </w:r>
      <w:r>
        <w:rPr>
          <w:sz w:val="22"/>
        </w:rPr>
        <w:t>counts</w:t>
      </w:r>
      <w:r>
        <w:rPr>
          <w:spacing w:val="-2"/>
          <w:sz w:val="22"/>
        </w:rPr>
        <w:t> </w:t>
      </w:r>
      <w:r>
        <w:rPr>
          <w:sz w:val="22"/>
        </w:rPr>
        <w:t>based</w:t>
      </w:r>
      <w:r>
        <w:rPr>
          <w:spacing w:val="-1"/>
          <w:sz w:val="22"/>
        </w:rPr>
        <w:t> </w:t>
      </w:r>
      <w:r>
        <w:rPr>
          <w:sz w:val="22"/>
        </w:rPr>
        <w:t>on</w:t>
      </w:r>
      <w:r>
        <w:rPr>
          <w:spacing w:val="-2"/>
          <w:sz w:val="22"/>
        </w:rPr>
        <w:t> </w:t>
      </w:r>
      <w:r>
        <w:rPr>
          <w:sz w:val="22"/>
        </w:rPr>
        <w:t>the</w:t>
      </w:r>
      <w:r>
        <w:rPr>
          <w:spacing w:val="-1"/>
          <w:sz w:val="22"/>
        </w:rPr>
        <w:t> </w:t>
      </w:r>
      <w:r>
        <w:rPr>
          <w:sz w:val="22"/>
        </w:rPr>
        <w:t>previous</w:t>
      </w:r>
      <w:r>
        <w:rPr>
          <w:spacing w:val="-2"/>
          <w:sz w:val="22"/>
        </w:rPr>
        <w:t> </w:t>
      </w:r>
      <w:r>
        <w:rPr>
          <w:sz w:val="22"/>
        </w:rPr>
        <w:t>methodology</w:t>
      </w:r>
      <w:r>
        <w:rPr>
          <w:spacing w:val="-1"/>
          <w:sz w:val="22"/>
        </w:rPr>
        <w:t> </w:t>
      </w:r>
      <w:r>
        <w:rPr>
          <w:sz w:val="22"/>
        </w:rPr>
        <w:t>with</w:t>
      </w:r>
      <w:r>
        <w:rPr>
          <w:spacing w:val="-3"/>
          <w:sz w:val="22"/>
        </w:rPr>
        <w:t> </w:t>
      </w:r>
      <w:r>
        <w:rPr>
          <w:sz w:val="22"/>
        </w:rPr>
        <w:t>the new methodology. The previous methodology ceased in February 2024.</w:t>
      </w:r>
    </w:p>
    <w:p>
      <w:pPr>
        <w:spacing w:before="119"/>
        <w:ind w:left="115" w:right="632" w:firstLine="0"/>
        <w:jc w:val="left"/>
        <w:rPr>
          <w:sz w:val="22"/>
        </w:rPr>
      </w:pPr>
      <w:r>
        <w:rPr>
          <w:sz w:val="22"/>
        </w:rPr>
        <w:t>Historical</w:t>
      </w:r>
      <w:r>
        <w:rPr>
          <w:spacing w:val="-4"/>
          <w:sz w:val="22"/>
        </w:rPr>
        <w:t> </w:t>
      </w:r>
      <w:r>
        <w:rPr>
          <w:sz w:val="22"/>
        </w:rPr>
        <w:t>worker</w:t>
      </w:r>
      <w:r>
        <w:rPr>
          <w:spacing w:val="-4"/>
          <w:sz w:val="22"/>
        </w:rPr>
        <w:t> </w:t>
      </w:r>
      <w:r>
        <w:rPr>
          <w:sz w:val="22"/>
        </w:rPr>
        <w:t>counts</w:t>
      </w:r>
      <w:r>
        <w:rPr>
          <w:spacing w:val="-3"/>
          <w:sz w:val="22"/>
        </w:rPr>
        <w:t> </w:t>
      </w:r>
      <w:r>
        <w:rPr>
          <w:sz w:val="22"/>
        </w:rPr>
        <w:t>have</w:t>
      </w:r>
      <w:r>
        <w:rPr>
          <w:spacing w:val="-3"/>
          <w:sz w:val="22"/>
        </w:rPr>
        <w:t> </w:t>
      </w:r>
      <w:r>
        <w:rPr>
          <w:sz w:val="22"/>
        </w:rPr>
        <w:t>been</w:t>
      </w:r>
      <w:r>
        <w:rPr>
          <w:spacing w:val="-3"/>
          <w:sz w:val="22"/>
        </w:rPr>
        <w:t> </w:t>
      </w:r>
      <w:r>
        <w:rPr>
          <w:sz w:val="22"/>
        </w:rPr>
        <w:t>recalculated,</w:t>
      </w:r>
      <w:r>
        <w:rPr>
          <w:spacing w:val="-2"/>
          <w:sz w:val="22"/>
        </w:rPr>
        <w:t> </w:t>
      </w:r>
      <w:r>
        <w:rPr>
          <w:sz w:val="22"/>
        </w:rPr>
        <w:t>only</w:t>
      </w:r>
      <w:r>
        <w:rPr>
          <w:spacing w:val="-3"/>
          <w:sz w:val="22"/>
        </w:rPr>
        <w:t> </w:t>
      </w:r>
      <w:r>
        <w:rPr>
          <w:sz w:val="22"/>
        </w:rPr>
        <w:t>for:</w:t>
      </w:r>
      <w:r>
        <w:rPr>
          <w:spacing w:val="-3"/>
          <w:sz w:val="22"/>
        </w:rPr>
        <w:t> </w:t>
      </w:r>
      <w:r>
        <w:rPr>
          <w:sz w:val="22"/>
        </w:rPr>
        <w:t>April</w:t>
      </w:r>
      <w:r>
        <w:rPr>
          <w:spacing w:val="-3"/>
          <w:sz w:val="22"/>
        </w:rPr>
        <w:t> </w:t>
      </w:r>
      <w:r>
        <w:rPr>
          <w:sz w:val="22"/>
        </w:rPr>
        <w:t>2022,</w:t>
      </w:r>
      <w:r>
        <w:rPr>
          <w:spacing w:val="-2"/>
          <w:sz w:val="22"/>
        </w:rPr>
        <w:t> </w:t>
      </w:r>
      <w:r>
        <w:rPr>
          <w:sz w:val="22"/>
        </w:rPr>
        <w:t>December</w:t>
      </w:r>
      <w:r>
        <w:rPr>
          <w:spacing w:val="-2"/>
          <w:sz w:val="22"/>
        </w:rPr>
        <w:t> </w:t>
      </w:r>
      <w:r>
        <w:rPr>
          <w:sz w:val="22"/>
        </w:rPr>
        <w:t>2022</w:t>
      </w:r>
      <w:r>
        <w:rPr>
          <w:spacing w:val="-3"/>
          <w:sz w:val="22"/>
        </w:rPr>
        <w:t> </w:t>
      </w:r>
      <w:r>
        <w:rPr>
          <w:sz w:val="22"/>
        </w:rPr>
        <w:t>and</w:t>
      </w:r>
      <w:r>
        <w:rPr>
          <w:spacing w:val="-3"/>
          <w:sz w:val="22"/>
        </w:rPr>
        <w:t> </w:t>
      </w:r>
      <w:r>
        <w:rPr>
          <w:sz w:val="22"/>
        </w:rPr>
        <w:t>each month from</w:t>
      </w:r>
      <w:r>
        <w:rPr>
          <w:spacing w:val="-1"/>
          <w:sz w:val="22"/>
        </w:rPr>
        <w:t> </w:t>
      </w:r>
      <w:r>
        <w:rPr>
          <w:sz w:val="22"/>
        </w:rPr>
        <w:t>June</w:t>
      </w:r>
      <w:r>
        <w:rPr>
          <w:spacing w:val="-2"/>
          <w:sz w:val="22"/>
        </w:rPr>
        <w:t> </w:t>
      </w:r>
      <w:r>
        <w:rPr>
          <w:sz w:val="22"/>
        </w:rPr>
        <w:t>2023 to February 2024.</w:t>
      </w:r>
      <w:r>
        <w:rPr>
          <w:spacing w:val="-1"/>
          <w:sz w:val="22"/>
        </w:rPr>
        <w:t> </w:t>
      </w:r>
      <w:r>
        <w:rPr>
          <w:sz w:val="22"/>
        </w:rPr>
        <w:t>In the</w:t>
      </w:r>
      <w:r>
        <w:rPr>
          <w:spacing w:val="-5"/>
          <w:sz w:val="22"/>
        </w:rPr>
        <w:t> </w:t>
      </w:r>
      <w:r>
        <w:rPr>
          <w:sz w:val="22"/>
        </w:rPr>
        <w:t>charts,</w:t>
      </w:r>
      <w:r>
        <w:rPr>
          <w:spacing w:val="-1"/>
          <w:sz w:val="22"/>
        </w:rPr>
        <w:t> </w:t>
      </w:r>
      <w:r>
        <w:rPr>
          <w:sz w:val="22"/>
        </w:rPr>
        <w:t>the</w:t>
      </w:r>
      <w:r>
        <w:rPr>
          <w:spacing w:val="-1"/>
          <w:sz w:val="22"/>
        </w:rPr>
        <w:t> </w:t>
      </w:r>
      <w:r>
        <w:rPr>
          <w:sz w:val="22"/>
        </w:rPr>
        <w:t>unknown values between April</w:t>
      </w:r>
      <w:r>
        <w:rPr>
          <w:spacing w:val="-1"/>
          <w:sz w:val="22"/>
        </w:rPr>
        <w:t> </w:t>
      </w:r>
      <w:r>
        <w:rPr>
          <w:sz w:val="22"/>
        </w:rPr>
        <w:t>2022 and December 2022, and December 2022 and June 2023 have been inferred and are represented by the dotted lines. This produces smooth lines that are not representative of the usual fluctuations expected in the monthly data.</w:t>
      </w:r>
    </w:p>
    <w:p>
      <w:pPr>
        <w:spacing w:before="120"/>
        <w:ind w:left="115" w:right="567" w:firstLine="0"/>
        <w:jc w:val="left"/>
        <w:rPr>
          <w:sz w:val="22"/>
        </w:rPr>
      </w:pPr>
      <w:r>
        <w:rPr>
          <w:sz w:val="22"/>
        </w:rPr>
        <w:t>All</w:t>
      </w:r>
      <w:r>
        <w:rPr>
          <w:spacing w:val="-3"/>
          <w:sz w:val="22"/>
        </w:rPr>
        <w:t> </w:t>
      </w:r>
      <w:r>
        <w:rPr>
          <w:sz w:val="22"/>
        </w:rPr>
        <w:t>published</w:t>
      </w:r>
      <w:r>
        <w:rPr>
          <w:spacing w:val="-2"/>
          <w:sz w:val="22"/>
        </w:rPr>
        <w:t> </w:t>
      </w:r>
      <w:r>
        <w:rPr>
          <w:sz w:val="22"/>
        </w:rPr>
        <w:t>PALM</w:t>
      </w:r>
      <w:r>
        <w:rPr>
          <w:spacing w:val="-2"/>
          <w:sz w:val="22"/>
        </w:rPr>
        <w:t> </w:t>
      </w:r>
      <w:r>
        <w:rPr>
          <w:sz w:val="22"/>
        </w:rPr>
        <w:t>worker</w:t>
      </w:r>
      <w:r>
        <w:rPr>
          <w:spacing w:val="-1"/>
          <w:sz w:val="22"/>
        </w:rPr>
        <w:t> </w:t>
      </w:r>
      <w:r>
        <w:rPr>
          <w:sz w:val="22"/>
        </w:rPr>
        <w:t>data</w:t>
      </w:r>
      <w:r>
        <w:rPr>
          <w:spacing w:val="-3"/>
          <w:sz w:val="22"/>
        </w:rPr>
        <w:t> </w:t>
      </w:r>
      <w:r>
        <w:rPr>
          <w:sz w:val="22"/>
        </w:rPr>
        <w:t>including</w:t>
      </w:r>
      <w:r>
        <w:rPr>
          <w:spacing w:val="-3"/>
          <w:sz w:val="22"/>
        </w:rPr>
        <w:t> </w:t>
      </w:r>
      <w:r>
        <w:rPr>
          <w:sz w:val="22"/>
        </w:rPr>
        <w:t>any</w:t>
      </w:r>
      <w:r>
        <w:rPr>
          <w:spacing w:val="-3"/>
          <w:sz w:val="22"/>
        </w:rPr>
        <w:t> </w:t>
      </w:r>
      <w:r>
        <w:rPr>
          <w:sz w:val="22"/>
        </w:rPr>
        <w:t>totals</w:t>
      </w:r>
      <w:r>
        <w:rPr>
          <w:spacing w:val="-3"/>
          <w:sz w:val="22"/>
        </w:rPr>
        <w:t> </w:t>
      </w:r>
      <w:r>
        <w:rPr>
          <w:sz w:val="22"/>
        </w:rPr>
        <w:t>and</w:t>
      </w:r>
      <w:r>
        <w:rPr>
          <w:spacing w:val="-3"/>
          <w:sz w:val="22"/>
        </w:rPr>
        <w:t> </w:t>
      </w:r>
      <w:r>
        <w:rPr>
          <w:sz w:val="22"/>
        </w:rPr>
        <w:t>subtotals are</w:t>
      </w:r>
      <w:r>
        <w:rPr>
          <w:spacing w:val="-4"/>
          <w:sz w:val="22"/>
        </w:rPr>
        <w:t> </w:t>
      </w:r>
      <w:r>
        <w:rPr>
          <w:sz w:val="22"/>
        </w:rPr>
        <w:t>rounded</w:t>
      </w:r>
      <w:r>
        <w:rPr>
          <w:spacing w:val="-3"/>
          <w:sz w:val="22"/>
        </w:rPr>
        <w:t> </w:t>
      </w:r>
      <w:r>
        <w:rPr>
          <w:sz w:val="22"/>
        </w:rPr>
        <w:t>to</w:t>
      </w:r>
      <w:r>
        <w:rPr>
          <w:spacing w:val="-5"/>
          <w:sz w:val="22"/>
        </w:rPr>
        <w:t> </w:t>
      </w:r>
      <w:r>
        <w:rPr>
          <w:sz w:val="22"/>
        </w:rPr>
        <w:t>the</w:t>
      </w:r>
      <w:r>
        <w:rPr>
          <w:spacing w:val="-3"/>
          <w:sz w:val="22"/>
        </w:rPr>
        <w:t> </w:t>
      </w:r>
      <w:r>
        <w:rPr>
          <w:sz w:val="22"/>
        </w:rPr>
        <w:t>nearest</w:t>
      </w:r>
      <w:r>
        <w:rPr>
          <w:spacing w:val="-1"/>
          <w:sz w:val="22"/>
        </w:rPr>
        <w:t> </w:t>
      </w:r>
      <w:r>
        <w:rPr>
          <w:sz w:val="22"/>
        </w:rPr>
        <w:t>5. For more information see the Glossary.</w:t>
      </w:r>
    </w:p>
    <w:p>
      <w:pPr>
        <w:pStyle w:val="BodyText"/>
        <w:spacing w:before="225"/>
        <w:rPr>
          <w:sz w:val="22"/>
        </w:rPr>
      </w:pPr>
    </w:p>
    <w:p>
      <w:pPr>
        <w:pStyle w:val="Heading2"/>
      </w:pPr>
      <w:r>
        <w:rPr>
          <w:color w:val="242A82"/>
        </w:rPr>
        <w:t>Australia</w:t>
      </w:r>
      <w:r>
        <w:rPr>
          <w:color w:val="242A82"/>
          <w:spacing w:val="-4"/>
        </w:rPr>
        <w:t> </w:t>
      </w:r>
      <w:r>
        <w:rPr>
          <w:color w:val="242A82"/>
        </w:rPr>
        <w:t>–</w:t>
      </w:r>
      <w:r>
        <w:rPr>
          <w:color w:val="242A82"/>
          <w:spacing w:val="-6"/>
        </w:rPr>
        <w:t> </w:t>
      </w:r>
      <w:r>
        <w:rPr>
          <w:color w:val="242A82"/>
        </w:rPr>
        <w:t>PALM</w:t>
      </w:r>
      <w:r>
        <w:rPr>
          <w:color w:val="242A82"/>
          <w:spacing w:val="-5"/>
        </w:rPr>
        <w:t> </w:t>
      </w:r>
      <w:r>
        <w:rPr>
          <w:color w:val="242A82"/>
        </w:rPr>
        <w:t>worker</w:t>
      </w:r>
      <w:r>
        <w:rPr>
          <w:color w:val="242A82"/>
          <w:spacing w:val="-5"/>
        </w:rPr>
        <w:t> </w:t>
      </w:r>
      <w:r>
        <w:rPr>
          <w:color w:val="242A82"/>
          <w:spacing w:val="-2"/>
        </w:rPr>
        <w:t>trends</w:t>
      </w:r>
    </w:p>
    <w:p>
      <w:pPr>
        <w:pStyle w:val="BodyText"/>
        <w:spacing w:before="241"/>
        <w:ind w:left="115"/>
      </w:pPr>
      <w:r>
        <w:rPr/>
        <w:drawing>
          <wp:anchor distT="0" distB="0" distL="0" distR="0" allowOverlap="1" layoutInCell="1" locked="0" behindDoc="0" simplePos="0" relativeHeight="15730688">
            <wp:simplePos x="0" y="0"/>
            <wp:positionH relativeFrom="page">
              <wp:posOffset>3689350</wp:posOffset>
            </wp:positionH>
            <wp:positionV relativeFrom="paragraph">
              <wp:posOffset>220801</wp:posOffset>
            </wp:positionV>
            <wp:extent cx="3316604" cy="223266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3316604" cy="2232660"/>
                    </a:xfrm>
                    <a:prstGeom prst="rect">
                      <a:avLst/>
                    </a:prstGeom>
                  </pic:spPr>
                </pic:pic>
              </a:graphicData>
            </a:graphic>
          </wp:anchor>
        </w:drawing>
      </w:r>
      <w:r>
        <w:rPr>
          <w:color w:val="252A82"/>
        </w:rPr>
        <w:t>Total</w:t>
      </w:r>
      <w:r>
        <w:rPr>
          <w:color w:val="252A82"/>
          <w:spacing w:val="-6"/>
        </w:rPr>
        <w:t> </w:t>
      </w:r>
      <w:r>
        <w:rPr>
          <w:color w:val="252A82"/>
        </w:rPr>
        <w:t>PALM</w:t>
      </w:r>
      <w:r>
        <w:rPr>
          <w:color w:val="252A82"/>
          <w:spacing w:val="-7"/>
        </w:rPr>
        <w:t> </w:t>
      </w:r>
      <w:r>
        <w:rPr>
          <w:color w:val="252A82"/>
        </w:rPr>
        <w:t>worker</w:t>
      </w:r>
      <w:r>
        <w:rPr>
          <w:color w:val="252A82"/>
          <w:spacing w:val="-8"/>
        </w:rPr>
        <w:t> </w:t>
      </w:r>
      <w:r>
        <w:rPr>
          <w:color w:val="252A82"/>
          <w:spacing w:val="-2"/>
        </w:rPr>
        <w:t>numbers</w:t>
      </w:r>
    </w:p>
    <w:p>
      <w:pPr>
        <w:pStyle w:val="BodyText"/>
        <w:spacing w:line="259" w:lineRule="auto" w:before="200"/>
        <w:ind w:left="115" w:right="5794"/>
      </w:pPr>
      <w:r>
        <w:rPr/>
        <w:t>PALM scheme worker numbers have increased by 31% between</w:t>
      </w:r>
      <w:r>
        <w:rPr>
          <w:spacing w:val="-1"/>
        </w:rPr>
        <w:t> </w:t>
      </w:r>
      <w:r>
        <w:rPr/>
        <w:t>April 2022</w:t>
      </w:r>
      <w:r>
        <w:rPr>
          <w:spacing w:val="-1"/>
        </w:rPr>
        <w:t> </w:t>
      </w:r>
      <w:r>
        <w:rPr/>
        <w:t>and June 2024 (see Figure 1a). Apart from a marked drop in December</w:t>
      </w:r>
      <w:r>
        <w:rPr>
          <w:spacing w:val="-8"/>
        </w:rPr>
        <w:t> </w:t>
      </w:r>
      <w:r>
        <w:rPr/>
        <w:t>2023</w:t>
      </w:r>
      <w:r>
        <w:rPr>
          <w:spacing w:val="-5"/>
        </w:rPr>
        <w:t> </w:t>
      </w:r>
      <w:r>
        <w:rPr/>
        <w:t>due</w:t>
      </w:r>
      <w:r>
        <w:rPr>
          <w:spacing w:val="-8"/>
        </w:rPr>
        <w:t> </w:t>
      </w:r>
      <w:r>
        <w:rPr/>
        <w:t>to</w:t>
      </w:r>
      <w:r>
        <w:rPr>
          <w:spacing w:val="-7"/>
        </w:rPr>
        <w:t> </w:t>
      </w:r>
      <w:r>
        <w:rPr/>
        <w:t>workers</w:t>
      </w:r>
      <w:r>
        <w:rPr>
          <w:spacing w:val="-7"/>
        </w:rPr>
        <w:t> </w:t>
      </w:r>
      <w:r>
        <w:rPr/>
        <w:t>returning</w:t>
      </w:r>
      <w:r>
        <w:rPr>
          <w:spacing w:val="-5"/>
        </w:rPr>
        <w:t> </w:t>
      </w:r>
      <w:r>
        <w:rPr/>
        <w:t>home for holidays, levels have remained relatively stable over the last year.</w:t>
      </w:r>
    </w:p>
    <w:p>
      <w:pPr>
        <w:pStyle w:val="BodyText"/>
        <w:spacing w:line="259" w:lineRule="auto" w:before="118"/>
        <w:ind w:left="115" w:right="5713"/>
      </w:pPr>
      <w:r>
        <w:rPr/>
        <w:t>Under</w:t>
      </w:r>
      <w:r>
        <w:rPr>
          <w:spacing w:val="-7"/>
        </w:rPr>
        <w:t> </w:t>
      </w:r>
      <w:r>
        <w:rPr/>
        <w:t>the</w:t>
      </w:r>
      <w:r>
        <w:rPr>
          <w:spacing w:val="-5"/>
        </w:rPr>
        <w:t> </w:t>
      </w:r>
      <w:r>
        <w:rPr/>
        <w:t>new</w:t>
      </w:r>
      <w:r>
        <w:rPr>
          <w:spacing w:val="-7"/>
        </w:rPr>
        <w:t> </w:t>
      </w:r>
      <w:r>
        <w:rPr/>
        <w:t>methodology,</w:t>
      </w:r>
      <w:r>
        <w:rPr>
          <w:spacing w:val="-5"/>
        </w:rPr>
        <w:t> </w:t>
      </w:r>
      <w:r>
        <w:rPr/>
        <w:t>new</w:t>
      </w:r>
      <w:r>
        <w:rPr>
          <w:spacing w:val="-7"/>
        </w:rPr>
        <w:t> </w:t>
      </w:r>
      <w:r>
        <w:rPr/>
        <w:t>worker</w:t>
      </w:r>
      <w:r>
        <w:rPr>
          <w:spacing w:val="-8"/>
        </w:rPr>
        <w:t> </w:t>
      </w:r>
      <w:r>
        <w:rPr/>
        <w:t>counts are generally 9% to 14% lower than previously reported, except for December 2022 and 2023; these were over-estimated by around 20%.</w:t>
      </w:r>
    </w:p>
    <w:p>
      <w:pPr>
        <w:pStyle w:val="BodyText"/>
      </w:pPr>
    </w:p>
    <w:p>
      <w:pPr>
        <w:pStyle w:val="BodyText"/>
      </w:pPr>
    </w:p>
    <w:p>
      <w:pPr>
        <w:pStyle w:val="BodyText"/>
        <w:spacing w:before="208"/>
      </w:pPr>
    </w:p>
    <w:p>
      <w:pPr>
        <w:pStyle w:val="BodyText"/>
        <w:ind w:left="115"/>
      </w:pPr>
      <w:r>
        <w:rPr>
          <w:color w:val="252A82"/>
        </w:rPr>
        <w:t>PALM</w:t>
      </w:r>
      <w:r>
        <w:rPr>
          <w:color w:val="252A82"/>
          <w:spacing w:val="-7"/>
        </w:rPr>
        <w:t> </w:t>
      </w:r>
      <w:r>
        <w:rPr>
          <w:color w:val="252A82"/>
        </w:rPr>
        <w:t>worker</w:t>
      </w:r>
      <w:r>
        <w:rPr>
          <w:color w:val="252A82"/>
          <w:spacing w:val="-5"/>
        </w:rPr>
        <w:t> </w:t>
      </w:r>
      <w:r>
        <w:rPr>
          <w:color w:val="252A82"/>
        </w:rPr>
        <w:t>numbers</w:t>
      </w:r>
      <w:r>
        <w:rPr>
          <w:color w:val="252A82"/>
          <w:spacing w:val="-4"/>
        </w:rPr>
        <w:t> </w:t>
      </w:r>
      <w:r>
        <w:rPr>
          <w:color w:val="252A82"/>
        </w:rPr>
        <w:t>—</w:t>
      </w:r>
      <w:r>
        <w:rPr>
          <w:color w:val="252A82"/>
          <w:spacing w:val="-6"/>
        </w:rPr>
        <w:t> </w:t>
      </w:r>
      <w:r>
        <w:rPr>
          <w:color w:val="252A82"/>
        </w:rPr>
        <w:t>by</w:t>
      </w:r>
      <w:r>
        <w:rPr>
          <w:color w:val="252A82"/>
          <w:spacing w:val="-5"/>
        </w:rPr>
        <w:t> </w:t>
      </w:r>
      <w:r>
        <w:rPr>
          <w:color w:val="252A82"/>
          <w:spacing w:val="-2"/>
        </w:rPr>
        <w:t>stream</w:t>
      </w:r>
    </w:p>
    <w:p>
      <w:pPr>
        <w:pStyle w:val="BodyText"/>
        <w:spacing w:before="200"/>
        <w:ind w:left="115" w:right="5794"/>
      </w:pPr>
      <w:r>
        <w:rPr/>
        <w:drawing>
          <wp:anchor distT="0" distB="0" distL="0" distR="0" allowOverlap="1" layoutInCell="1" locked="0" behindDoc="0" simplePos="0" relativeHeight="15731200">
            <wp:simplePos x="0" y="0"/>
            <wp:positionH relativeFrom="page">
              <wp:posOffset>3733800</wp:posOffset>
            </wp:positionH>
            <wp:positionV relativeFrom="paragraph">
              <wp:posOffset>140677</wp:posOffset>
            </wp:positionV>
            <wp:extent cx="3309620" cy="2172969"/>
            <wp:effectExtent l="0" t="0" r="0" b="0"/>
            <wp:wrapNone/>
            <wp:docPr id="6" name="Image 6" descr="A graph of a graph showing different types of work  Description automatically generated with medium confidence"/>
            <wp:cNvGraphicFramePr>
              <a:graphicFrameLocks/>
            </wp:cNvGraphicFramePr>
            <a:graphic>
              <a:graphicData uri="http://schemas.openxmlformats.org/drawingml/2006/picture">
                <pic:pic>
                  <pic:nvPicPr>
                    <pic:cNvPr id="6" name="Image 6" descr="A graph of a graph showing different types of work  Description automatically generated with medium confidence"/>
                    <pic:cNvPicPr/>
                  </pic:nvPicPr>
                  <pic:blipFill>
                    <a:blip r:embed="rId9" cstate="print"/>
                    <a:stretch>
                      <a:fillRect/>
                    </a:stretch>
                  </pic:blipFill>
                  <pic:spPr>
                    <a:xfrm>
                      <a:off x="0" y="0"/>
                      <a:ext cx="3309620" cy="2172969"/>
                    </a:xfrm>
                    <a:prstGeom prst="rect">
                      <a:avLst/>
                    </a:prstGeom>
                  </pic:spPr>
                </pic:pic>
              </a:graphicData>
            </a:graphic>
          </wp:anchor>
        </w:drawing>
      </w:r>
      <w:r>
        <w:rPr/>
        <w:t>Figure</w:t>
      </w:r>
      <w:r>
        <w:rPr>
          <w:spacing w:val="-6"/>
        </w:rPr>
        <w:t> </w:t>
      </w:r>
      <w:r>
        <w:rPr/>
        <w:t>1b</w:t>
      </w:r>
      <w:r>
        <w:rPr>
          <w:spacing w:val="-6"/>
        </w:rPr>
        <w:t> </w:t>
      </w:r>
      <w:r>
        <w:rPr/>
        <w:t>shows</w:t>
      </w:r>
      <w:r>
        <w:rPr>
          <w:spacing w:val="-5"/>
        </w:rPr>
        <w:t> </w:t>
      </w:r>
      <w:r>
        <w:rPr/>
        <w:t>the</w:t>
      </w:r>
      <w:r>
        <w:rPr>
          <w:spacing w:val="-6"/>
        </w:rPr>
        <w:t> </w:t>
      </w:r>
      <w:r>
        <w:rPr/>
        <w:t>proportion</w:t>
      </w:r>
      <w:r>
        <w:rPr>
          <w:spacing w:val="-7"/>
        </w:rPr>
        <w:t> </w:t>
      </w:r>
      <w:r>
        <w:rPr/>
        <w:t>of</w:t>
      </w:r>
      <w:r>
        <w:rPr>
          <w:spacing w:val="-3"/>
        </w:rPr>
        <w:t> </w:t>
      </w:r>
      <w:r>
        <w:rPr/>
        <w:t>PALM</w:t>
      </w:r>
      <w:r>
        <w:rPr>
          <w:spacing w:val="-6"/>
        </w:rPr>
        <w:t> </w:t>
      </w:r>
      <w:r>
        <w:rPr/>
        <w:t>scheme workers engaged in the short-term and long- term streams between April 2022 and June </w:t>
      </w:r>
      <w:r>
        <w:rPr>
          <w:spacing w:val="-2"/>
        </w:rPr>
        <w:t>2024.</w:t>
      </w:r>
    </w:p>
    <w:p>
      <w:pPr>
        <w:pStyle w:val="BodyText"/>
      </w:pPr>
    </w:p>
    <w:p>
      <w:pPr>
        <w:pStyle w:val="BodyText"/>
        <w:spacing w:before="1"/>
        <w:ind w:left="115" w:right="5794"/>
      </w:pPr>
      <w:r>
        <w:rPr/>
        <w:t>Over time, PALM scheme worker participation by stream has shifted significantly. In April 2022, the short-term stream accounted for 73% of the PALM scheme workforce, and by June 2024,</w:t>
      </w:r>
      <w:r>
        <w:rPr>
          <w:spacing w:val="-5"/>
        </w:rPr>
        <w:t> </w:t>
      </w:r>
      <w:r>
        <w:rPr/>
        <w:t>this</w:t>
      </w:r>
      <w:r>
        <w:rPr>
          <w:spacing w:val="-5"/>
        </w:rPr>
        <w:t> </w:t>
      </w:r>
      <w:r>
        <w:rPr/>
        <w:t>had</w:t>
      </w:r>
      <w:r>
        <w:rPr>
          <w:spacing w:val="-5"/>
        </w:rPr>
        <w:t> </w:t>
      </w:r>
      <w:r>
        <w:rPr/>
        <w:t>reduced</w:t>
      </w:r>
      <w:r>
        <w:rPr>
          <w:spacing w:val="-5"/>
        </w:rPr>
        <w:t> </w:t>
      </w:r>
      <w:r>
        <w:rPr/>
        <w:t>to</w:t>
      </w:r>
      <w:r>
        <w:rPr>
          <w:spacing w:val="-5"/>
        </w:rPr>
        <w:t> </w:t>
      </w:r>
      <w:r>
        <w:rPr/>
        <w:t>just</w:t>
      </w:r>
      <w:r>
        <w:rPr>
          <w:spacing w:val="-5"/>
        </w:rPr>
        <w:t> </w:t>
      </w:r>
      <w:r>
        <w:rPr/>
        <w:t>under</w:t>
      </w:r>
      <w:r>
        <w:rPr>
          <w:spacing w:val="-5"/>
        </w:rPr>
        <w:t> </w:t>
      </w:r>
      <w:r>
        <w:rPr/>
        <w:t>half</w:t>
      </w:r>
      <w:r>
        <w:rPr>
          <w:spacing w:val="-5"/>
        </w:rPr>
        <w:t> </w:t>
      </w:r>
      <w:r>
        <w:rPr/>
        <w:t>(47%). Conversely, the proportion of workers in the long-term stream increased from just 27% in April 2022 to 53% in June 2024.</w:t>
      </w:r>
    </w:p>
    <w:p>
      <w:pPr>
        <w:pStyle w:val="BodyText"/>
        <w:spacing w:before="230"/>
        <w:ind w:left="115" w:right="5794"/>
      </w:pPr>
      <w:r>
        <w:rPr/>
        <w:t>The</w:t>
      </w:r>
      <w:r>
        <w:rPr>
          <w:spacing w:val="-7"/>
        </w:rPr>
        <w:t> </w:t>
      </w:r>
      <w:r>
        <w:rPr/>
        <w:t>most</w:t>
      </w:r>
      <w:r>
        <w:rPr>
          <w:spacing w:val="-9"/>
        </w:rPr>
        <w:t> </w:t>
      </w:r>
      <w:r>
        <w:rPr/>
        <w:t>significant</w:t>
      </w:r>
      <w:r>
        <w:rPr>
          <w:spacing w:val="-9"/>
        </w:rPr>
        <w:t> </w:t>
      </w:r>
      <w:r>
        <w:rPr/>
        <w:t>changes</w:t>
      </w:r>
      <w:r>
        <w:rPr>
          <w:spacing w:val="-9"/>
        </w:rPr>
        <w:t> </w:t>
      </w:r>
      <w:r>
        <w:rPr/>
        <w:t>occurred</w:t>
      </w:r>
      <w:r>
        <w:rPr>
          <w:spacing w:val="-9"/>
        </w:rPr>
        <w:t> </w:t>
      </w:r>
      <w:r>
        <w:rPr/>
        <w:t>between April 2022 and December 2022, with the trend towards an increasing share of long-term workers continuing to June 2024, albeit at a slower rate of change.</w:t>
      </w:r>
    </w:p>
    <w:p>
      <w:pPr>
        <w:pStyle w:val="BodyText"/>
        <w:rPr>
          <w:sz w:val="16"/>
        </w:rPr>
      </w:pPr>
    </w:p>
    <w:p>
      <w:pPr>
        <w:pStyle w:val="BodyText"/>
        <w:rPr>
          <w:sz w:val="16"/>
        </w:rPr>
      </w:pPr>
    </w:p>
    <w:p>
      <w:pPr>
        <w:pStyle w:val="BodyText"/>
        <w:rPr>
          <w:sz w:val="16"/>
        </w:rPr>
      </w:pPr>
    </w:p>
    <w:p>
      <w:pPr>
        <w:pStyle w:val="BodyText"/>
        <w:spacing w:before="17"/>
        <w:rPr>
          <w:sz w:val="16"/>
        </w:rPr>
      </w:pPr>
    </w:p>
    <w:p>
      <w:pPr>
        <w:spacing w:line="185" w:lineRule="exact" w:before="1"/>
        <w:ind w:left="9556" w:right="0" w:firstLine="0"/>
        <w:jc w:val="left"/>
        <w:rPr>
          <w:sz w:val="16"/>
        </w:rPr>
      </w:pPr>
      <w:r>
        <w:rPr>
          <w:color w:val="242A82"/>
          <w:spacing w:val="-10"/>
          <w:sz w:val="16"/>
        </w:rPr>
        <w:t>4</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BodyText"/>
        <w:spacing w:before="86"/>
        <w:ind w:left="115"/>
      </w:pPr>
      <w:r>
        <w:rPr/>
        <w:drawing>
          <wp:anchor distT="0" distB="0" distL="0" distR="0" allowOverlap="1" layoutInCell="1" locked="0" behindDoc="1" simplePos="0" relativeHeight="487226880">
            <wp:simplePos x="0" y="0"/>
            <wp:positionH relativeFrom="page">
              <wp:posOffset>0</wp:posOffset>
            </wp:positionH>
            <wp:positionV relativeFrom="page">
              <wp:posOffset>60</wp:posOffset>
            </wp:positionV>
            <wp:extent cx="7560564" cy="1065745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7560564" cy="10657459"/>
                    </a:xfrm>
                    <a:prstGeom prst="rect">
                      <a:avLst/>
                    </a:prstGeom>
                  </pic:spPr>
                </pic:pic>
              </a:graphicData>
            </a:graphic>
          </wp:anchor>
        </w:drawing>
      </w:r>
      <w:r>
        <w:rPr>
          <w:color w:val="252A82"/>
        </w:rPr>
        <w:t>Short-term</w:t>
      </w:r>
      <w:r>
        <w:rPr>
          <w:color w:val="252A82"/>
          <w:spacing w:val="-12"/>
        </w:rPr>
        <w:t> </w:t>
      </w:r>
      <w:r>
        <w:rPr>
          <w:color w:val="252A82"/>
          <w:spacing w:val="-2"/>
        </w:rPr>
        <w:t>stream</w:t>
      </w:r>
    </w:p>
    <w:p>
      <w:pPr>
        <w:pStyle w:val="BodyText"/>
        <w:spacing w:line="259" w:lineRule="auto" w:before="203"/>
        <w:ind w:left="115" w:right="6085"/>
      </w:pPr>
      <w:r>
        <w:rPr/>
        <w:drawing>
          <wp:anchor distT="0" distB="0" distL="0" distR="0" allowOverlap="1" layoutInCell="1" locked="0" behindDoc="0" simplePos="0" relativeHeight="15732736">
            <wp:simplePos x="0" y="0"/>
            <wp:positionH relativeFrom="page">
              <wp:posOffset>3505834</wp:posOffset>
            </wp:positionH>
            <wp:positionV relativeFrom="paragraph">
              <wp:posOffset>144509</wp:posOffset>
            </wp:positionV>
            <wp:extent cx="3592195" cy="249174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3592195" cy="2491740"/>
                    </a:xfrm>
                    <a:prstGeom prst="rect">
                      <a:avLst/>
                    </a:prstGeom>
                  </pic:spPr>
                </pic:pic>
              </a:graphicData>
            </a:graphic>
          </wp:anchor>
        </w:drawing>
      </w:r>
      <w:r>
        <w:rPr/>
        <w:t>The</w:t>
      </w:r>
      <w:r>
        <w:rPr>
          <w:spacing w:val="-7"/>
        </w:rPr>
        <w:t> </w:t>
      </w:r>
      <w:r>
        <w:rPr/>
        <w:t>short-term</w:t>
      </w:r>
      <w:r>
        <w:rPr>
          <w:spacing w:val="-7"/>
        </w:rPr>
        <w:t> </w:t>
      </w:r>
      <w:r>
        <w:rPr/>
        <w:t>stream</w:t>
      </w:r>
      <w:r>
        <w:rPr>
          <w:spacing w:val="-4"/>
        </w:rPr>
        <w:t> </w:t>
      </w:r>
      <w:r>
        <w:rPr/>
        <w:t>has</w:t>
      </w:r>
      <w:r>
        <w:rPr>
          <w:spacing w:val="-4"/>
        </w:rPr>
        <w:t> </w:t>
      </w:r>
      <w:r>
        <w:rPr/>
        <w:t>been</w:t>
      </w:r>
      <w:r>
        <w:rPr>
          <w:spacing w:val="-5"/>
        </w:rPr>
        <w:t> </w:t>
      </w:r>
      <w:r>
        <w:rPr/>
        <w:t>generally</w:t>
      </w:r>
      <w:r>
        <w:rPr>
          <w:spacing w:val="-5"/>
        </w:rPr>
        <w:t> </w:t>
      </w:r>
      <w:r>
        <w:rPr/>
        <w:t>in decline since April 2022 (prior to the commencement of the new PALM scheme in mid-2023). Between April 2022 and June 2024, the short-term stream declined by </w:t>
      </w:r>
      <w:r>
        <w:rPr>
          <w:spacing w:val="-4"/>
        </w:rPr>
        <w:t>16%.</w:t>
      </w:r>
    </w:p>
    <w:p>
      <w:pPr>
        <w:pStyle w:val="BodyText"/>
        <w:spacing w:before="117"/>
        <w:ind w:left="115" w:right="6061"/>
      </w:pPr>
      <w:r>
        <w:rPr/>
        <w:t>This decline likely reflects a range of factors, including the departure of 408 pandemic event visa holders and the return of</w:t>
      </w:r>
      <w:r>
        <w:rPr>
          <w:spacing w:val="-1"/>
        </w:rPr>
        <w:t> </w:t>
      </w:r>
      <w:r>
        <w:rPr/>
        <w:t>working</w:t>
      </w:r>
      <w:r>
        <w:rPr>
          <w:spacing w:val="-1"/>
        </w:rPr>
        <w:t> </w:t>
      </w:r>
      <w:r>
        <w:rPr/>
        <w:t>holiday</w:t>
      </w:r>
      <w:r>
        <w:rPr>
          <w:spacing w:val="-1"/>
        </w:rPr>
        <w:t> </w:t>
      </w:r>
      <w:r>
        <w:rPr/>
        <w:t>makers as</w:t>
      </w:r>
      <w:r>
        <w:rPr>
          <w:spacing w:val="-1"/>
        </w:rPr>
        <w:t> </w:t>
      </w:r>
      <w:r>
        <w:rPr/>
        <w:t>another</w:t>
      </w:r>
      <w:r>
        <w:rPr>
          <w:spacing w:val="-2"/>
        </w:rPr>
        <w:t> </w:t>
      </w:r>
      <w:r>
        <w:rPr/>
        <w:t>source of seasonal labour. There may be some changes</w:t>
      </w:r>
      <w:r>
        <w:rPr>
          <w:spacing w:val="-8"/>
        </w:rPr>
        <w:t> </w:t>
      </w:r>
      <w:r>
        <w:rPr/>
        <w:t>in</w:t>
      </w:r>
      <w:r>
        <w:rPr>
          <w:spacing w:val="-9"/>
        </w:rPr>
        <w:t> </w:t>
      </w:r>
      <w:r>
        <w:rPr/>
        <w:t>employer</w:t>
      </w:r>
      <w:r>
        <w:rPr>
          <w:spacing w:val="-9"/>
        </w:rPr>
        <w:t> </w:t>
      </w:r>
      <w:r>
        <w:rPr/>
        <w:t>and</w:t>
      </w:r>
      <w:r>
        <w:rPr>
          <w:spacing w:val="-8"/>
        </w:rPr>
        <w:t> </w:t>
      </w:r>
      <w:r>
        <w:rPr/>
        <w:t>worker</w:t>
      </w:r>
      <w:r>
        <w:rPr>
          <w:spacing w:val="-6"/>
        </w:rPr>
        <w:t> </w:t>
      </w:r>
      <w:r>
        <w:rPr/>
        <w:t>preferences emerging, including the possible impact of new program settings that encourage employers to better plan their workforce </w:t>
      </w:r>
      <w:r>
        <w:rPr>
          <w:spacing w:val="-2"/>
        </w:rPr>
        <w:t>needs.</w:t>
      </w:r>
    </w:p>
    <w:p>
      <w:pPr>
        <w:pStyle w:val="BodyText"/>
        <w:spacing w:before="123"/>
      </w:pPr>
    </w:p>
    <w:p>
      <w:pPr>
        <w:pStyle w:val="ListParagraph"/>
        <w:numPr>
          <w:ilvl w:val="0"/>
          <w:numId w:val="2"/>
        </w:numPr>
        <w:tabs>
          <w:tab w:pos="835" w:val="left" w:leader="none"/>
        </w:tabs>
        <w:spacing w:line="256" w:lineRule="auto" w:before="1" w:after="0"/>
        <w:ind w:left="835" w:right="3149" w:hanging="360"/>
        <w:jc w:val="left"/>
        <w:rPr>
          <w:sz w:val="20"/>
        </w:rPr>
      </w:pPr>
      <w:r>
        <w:rPr>
          <w:sz w:val="20"/>
        </w:rPr>
        <w:t>Previously</w:t>
      </w:r>
      <w:r>
        <w:rPr>
          <w:spacing w:val="-6"/>
          <w:sz w:val="20"/>
        </w:rPr>
        <w:t> </w:t>
      </w:r>
      <w:r>
        <w:rPr>
          <w:sz w:val="20"/>
        </w:rPr>
        <w:t>reported</w:t>
      </w:r>
      <w:r>
        <w:rPr>
          <w:spacing w:val="-7"/>
          <w:sz w:val="20"/>
        </w:rPr>
        <w:t> </w:t>
      </w:r>
      <w:r>
        <w:rPr>
          <w:sz w:val="20"/>
        </w:rPr>
        <w:t>short-term</w:t>
      </w:r>
      <w:r>
        <w:rPr>
          <w:spacing w:val="-6"/>
          <w:sz w:val="20"/>
        </w:rPr>
        <w:t> </w:t>
      </w:r>
      <w:r>
        <w:rPr>
          <w:sz w:val="20"/>
        </w:rPr>
        <w:t>worker</w:t>
      </w:r>
      <w:r>
        <w:rPr>
          <w:spacing w:val="-5"/>
          <w:sz w:val="20"/>
        </w:rPr>
        <w:t> </w:t>
      </w:r>
      <w:r>
        <w:rPr>
          <w:sz w:val="20"/>
        </w:rPr>
        <w:t>counts</w:t>
      </w:r>
      <w:r>
        <w:rPr>
          <w:spacing w:val="-4"/>
          <w:sz w:val="20"/>
        </w:rPr>
        <w:t> </w:t>
      </w:r>
      <w:r>
        <w:rPr>
          <w:sz w:val="20"/>
        </w:rPr>
        <w:t>were</w:t>
      </w:r>
      <w:r>
        <w:rPr>
          <w:spacing w:val="-6"/>
          <w:sz w:val="20"/>
        </w:rPr>
        <w:t> </w:t>
      </w:r>
      <w:r>
        <w:rPr>
          <w:sz w:val="20"/>
        </w:rPr>
        <w:t>overestimated</w:t>
      </w:r>
      <w:r>
        <w:rPr>
          <w:spacing w:val="-6"/>
          <w:sz w:val="20"/>
        </w:rPr>
        <w:t> </w:t>
      </w:r>
      <w:r>
        <w:rPr>
          <w:sz w:val="20"/>
        </w:rPr>
        <w:t>by 26%, on average, except for April 2022 which was under-counted.</w:t>
      </w:r>
    </w:p>
    <w:p>
      <w:pPr>
        <w:pStyle w:val="BodyText"/>
      </w:pPr>
    </w:p>
    <w:p>
      <w:pPr>
        <w:pStyle w:val="BodyText"/>
      </w:pPr>
    </w:p>
    <w:p>
      <w:pPr>
        <w:pStyle w:val="BodyText"/>
      </w:pPr>
    </w:p>
    <w:p>
      <w:pPr>
        <w:pStyle w:val="BodyText"/>
        <w:spacing w:before="13"/>
      </w:pPr>
    </w:p>
    <w:p>
      <w:pPr>
        <w:pStyle w:val="BodyText"/>
        <w:ind w:left="115"/>
      </w:pPr>
      <w:r>
        <w:rPr>
          <w:color w:val="252A82"/>
        </w:rPr>
        <w:t>Long-term</w:t>
      </w:r>
      <w:r>
        <w:rPr>
          <w:color w:val="252A82"/>
          <w:spacing w:val="-12"/>
        </w:rPr>
        <w:t> </w:t>
      </w:r>
      <w:r>
        <w:rPr>
          <w:color w:val="252A82"/>
          <w:spacing w:val="-2"/>
        </w:rPr>
        <w:t>stream</w:t>
      </w:r>
    </w:p>
    <w:p>
      <w:pPr>
        <w:pStyle w:val="BodyText"/>
        <w:spacing w:line="259" w:lineRule="auto" w:before="200"/>
        <w:ind w:left="115" w:right="6061"/>
      </w:pPr>
      <w:r>
        <w:rPr/>
        <w:drawing>
          <wp:anchor distT="0" distB="0" distL="0" distR="0" allowOverlap="1" layoutInCell="1" locked="0" behindDoc="0" simplePos="0" relativeHeight="15732224">
            <wp:simplePos x="0" y="0"/>
            <wp:positionH relativeFrom="page">
              <wp:posOffset>3505200</wp:posOffset>
            </wp:positionH>
            <wp:positionV relativeFrom="paragraph">
              <wp:posOffset>123811</wp:posOffset>
            </wp:positionV>
            <wp:extent cx="3496945" cy="242570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3496945" cy="2425700"/>
                    </a:xfrm>
                    <a:prstGeom prst="rect">
                      <a:avLst/>
                    </a:prstGeom>
                  </pic:spPr>
                </pic:pic>
              </a:graphicData>
            </a:graphic>
          </wp:anchor>
        </w:drawing>
      </w:r>
      <w:r>
        <w:rPr/>
        <w:t>There has been significant growth in the long-term stream between April 2022 and June 2024, with the number of long-term workers</w:t>
      </w:r>
      <w:r>
        <w:rPr>
          <w:spacing w:val="-6"/>
        </w:rPr>
        <w:t> </w:t>
      </w:r>
      <w:r>
        <w:rPr/>
        <w:t>more</w:t>
      </w:r>
      <w:r>
        <w:rPr>
          <w:spacing w:val="-7"/>
        </w:rPr>
        <w:t> </w:t>
      </w:r>
      <w:r>
        <w:rPr/>
        <w:t>than</w:t>
      </w:r>
      <w:r>
        <w:rPr>
          <w:spacing w:val="-7"/>
        </w:rPr>
        <w:t> </w:t>
      </w:r>
      <w:r>
        <w:rPr/>
        <w:t>doubling</w:t>
      </w:r>
      <w:r>
        <w:rPr>
          <w:spacing w:val="-4"/>
        </w:rPr>
        <w:t> </w:t>
      </w:r>
      <w:r>
        <w:rPr/>
        <w:t>over</w:t>
      </w:r>
      <w:r>
        <w:rPr>
          <w:spacing w:val="-8"/>
        </w:rPr>
        <w:t> </w:t>
      </w:r>
      <w:r>
        <w:rPr/>
        <w:t>the</w:t>
      </w:r>
      <w:r>
        <w:rPr>
          <w:spacing w:val="-6"/>
        </w:rPr>
        <w:t> </w:t>
      </w:r>
      <w:r>
        <w:rPr/>
        <w:t>period.</w:t>
      </w:r>
    </w:p>
    <w:p>
      <w:pPr>
        <w:pStyle w:val="BodyText"/>
        <w:spacing w:line="259" w:lineRule="auto" w:before="120"/>
        <w:ind w:left="115" w:right="6085"/>
      </w:pPr>
      <w:r>
        <w:rPr/>
        <w:t>The December</w:t>
      </w:r>
      <w:r>
        <w:rPr>
          <w:spacing w:val="-1"/>
        </w:rPr>
        <w:t> </w:t>
      </w:r>
      <w:r>
        <w:rPr/>
        <w:t>2023 drop in</w:t>
      </w:r>
      <w:r>
        <w:rPr>
          <w:spacing w:val="-1"/>
        </w:rPr>
        <w:t> </w:t>
      </w:r>
      <w:r>
        <w:rPr/>
        <w:t>worker counts highlighted above is driven by long-term workers temporarily leaving the country. This same pattern can be seen below for those countries and industries that have greater</w:t>
      </w:r>
      <w:r>
        <w:rPr>
          <w:spacing w:val="-6"/>
        </w:rPr>
        <w:t> </w:t>
      </w:r>
      <w:r>
        <w:rPr/>
        <w:t>proportions</w:t>
      </w:r>
      <w:r>
        <w:rPr>
          <w:spacing w:val="-6"/>
        </w:rPr>
        <w:t> </w:t>
      </w:r>
      <w:r>
        <w:rPr/>
        <w:t>of</w:t>
      </w:r>
      <w:r>
        <w:rPr>
          <w:spacing w:val="-6"/>
        </w:rPr>
        <w:t> </w:t>
      </w:r>
      <w:r>
        <w:rPr/>
        <w:t>workers</w:t>
      </w:r>
      <w:r>
        <w:rPr>
          <w:spacing w:val="-6"/>
        </w:rPr>
        <w:t> </w:t>
      </w:r>
      <w:r>
        <w:rPr/>
        <w:t>in</w:t>
      </w:r>
      <w:r>
        <w:rPr>
          <w:spacing w:val="-8"/>
        </w:rPr>
        <w:t> </w:t>
      </w:r>
      <w:r>
        <w:rPr/>
        <w:t>the</w:t>
      </w:r>
      <w:r>
        <w:rPr>
          <w:spacing w:val="-5"/>
        </w:rPr>
        <w:t> </w:t>
      </w:r>
      <w:r>
        <w:rPr/>
        <w:t>long- term stream.</w:t>
      </w:r>
    </w:p>
    <w:p>
      <w:pPr>
        <w:pStyle w:val="BodyText"/>
      </w:pPr>
    </w:p>
    <w:p>
      <w:pPr>
        <w:pStyle w:val="BodyText"/>
      </w:pPr>
    </w:p>
    <w:p>
      <w:pPr>
        <w:pStyle w:val="BodyText"/>
      </w:pPr>
    </w:p>
    <w:p>
      <w:pPr>
        <w:pStyle w:val="BodyText"/>
        <w:spacing w:before="194"/>
      </w:pPr>
    </w:p>
    <w:p>
      <w:pPr>
        <w:pStyle w:val="ListParagraph"/>
        <w:numPr>
          <w:ilvl w:val="0"/>
          <w:numId w:val="2"/>
        </w:numPr>
        <w:tabs>
          <w:tab w:pos="835" w:val="left" w:leader="none"/>
        </w:tabs>
        <w:spacing w:line="256" w:lineRule="auto" w:before="0" w:after="0"/>
        <w:ind w:left="835" w:right="3217" w:hanging="360"/>
        <w:jc w:val="left"/>
        <w:rPr>
          <w:sz w:val="20"/>
        </w:rPr>
      </w:pPr>
      <w:r>
        <w:rPr>
          <w:sz w:val="20"/>
        </w:rPr>
        <w:t>Previously</w:t>
      </w:r>
      <w:r>
        <w:rPr>
          <w:spacing w:val="-6"/>
          <w:sz w:val="20"/>
        </w:rPr>
        <w:t> </w:t>
      </w:r>
      <w:r>
        <w:rPr>
          <w:sz w:val="20"/>
        </w:rPr>
        <w:t>reported</w:t>
      </w:r>
      <w:r>
        <w:rPr>
          <w:spacing w:val="-5"/>
          <w:sz w:val="20"/>
        </w:rPr>
        <w:t> </w:t>
      </w:r>
      <w:r>
        <w:rPr>
          <w:sz w:val="20"/>
        </w:rPr>
        <w:t>long-term</w:t>
      </w:r>
      <w:r>
        <w:rPr>
          <w:spacing w:val="-6"/>
          <w:sz w:val="20"/>
        </w:rPr>
        <w:t> </w:t>
      </w:r>
      <w:r>
        <w:rPr>
          <w:sz w:val="20"/>
        </w:rPr>
        <w:t>worker</w:t>
      </w:r>
      <w:r>
        <w:rPr>
          <w:spacing w:val="-6"/>
          <w:sz w:val="20"/>
        </w:rPr>
        <w:t> </w:t>
      </w:r>
      <w:r>
        <w:rPr>
          <w:sz w:val="20"/>
        </w:rPr>
        <w:t>counts</w:t>
      </w:r>
      <w:r>
        <w:rPr>
          <w:spacing w:val="-5"/>
          <w:sz w:val="20"/>
        </w:rPr>
        <w:t> </w:t>
      </w:r>
      <w:r>
        <w:rPr>
          <w:sz w:val="20"/>
        </w:rPr>
        <w:t>were</w:t>
      </w:r>
      <w:r>
        <w:rPr>
          <w:spacing w:val="-6"/>
          <w:sz w:val="20"/>
        </w:rPr>
        <w:t> </w:t>
      </w:r>
      <w:r>
        <w:rPr>
          <w:sz w:val="20"/>
        </w:rPr>
        <w:t>over-reported</w:t>
      </w:r>
      <w:r>
        <w:rPr>
          <w:spacing w:val="-7"/>
          <w:sz w:val="20"/>
        </w:rPr>
        <w:t> </w:t>
      </w:r>
      <w:r>
        <w:rPr>
          <w:sz w:val="20"/>
        </w:rPr>
        <w:t>for April 2022 and December 2022. After June 2023, long-term worker counts were typically under-reported instead.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5"/>
        <w:rPr>
          <w:sz w:val="16"/>
        </w:rPr>
      </w:pPr>
    </w:p>
    <w:p>
      <w:pPr>
        <w:spacing w:line="185" w:lineRule="exact" w:before="0"/>
        <w:ind w:left="9556" w:right="0" w:firstLine="0"/>
        <w:jc w:val="left"/>
        <w:rPr>
          <w:sz w:val="16"/>
        </w:rPr>
      </w:pPr>
      <w:r>
        <w:rPr>
          <w:color w:val="242A82"/>
          <w:spacing w:val="-10"/>
          <w:sz w:val="16"/>
        </w:rPr>
        <w:t>5</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Heading2"/>
        <w:spacing w:before="89"/>
      </w:pPr>
      <w:r>
        <w:rPr/>
        <mc:AlternateContent>
          <mc:Choice Requires="wps">
            <w:drawing>
              <wp:anchor distT="0" distB="0" distL="0" distR="0" allowOverlap="1" layoutInCell="1" locked="0" behindDoc="1" simplePos="0" relativeHeight="487228416">
                <wp:simplePos x="0" y="0"/>
                <wp:positionH relativeFrom="page">
                  <wp:posOffset>0</wp:posOffset>
                </wp:positionH>
                <wp:positionV relativeFrom="page">
                  <wp:posOffset>50</wp:posOffset>
                </wp:positionV>
                <wp:extent cx="7560945" cy="1051052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7560945" cy="10510520"/>
                          <a:chExt cx="7560945" cy="10510520"/>
                        </a:xfrm>
                      </wpg:grpSpPr>
                      <pic:pic>
                        <pic:nvPicPr>
                          <pic:cNvPr id="11" name="Image 11"/>
                          <pic:cNvPicPr/>
                        </pic:nvPicPr>
                        <pic:blipFill>
                          <a:blip r:embed="rId12" cstate="print"/>
                          <a:stretch>
                            <a:fillRect/>
                          </a:stretch>
                        </pic:blipFill>
                        <pic:spPr>
                          <a:xfrm>
                            <a:off x="0" y="0"/>
                            <a:ext cx="7560564" cy="10510012"/>
                          </a:xfrm>
                          <a:prstGeom prst="rect">
                            <a:avLst/>
                          </a:prstGeom>
                        </pic:spPr>
                      </pic:pic>
                      <wps:wsp>
                        <wps:cNvPr id="12" name="Graphic 12"/>
                        <wps:cNvSpPr/>
                        <wps:spPr>
                          <a:xfrm>
                            <a:off x="792784" y="9549027"/>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pic:pic>
                        <pic:nvPicPr>
                          <pic:cNvPr id="13" name="Image 13"/>
                          <pic:cNvPicPr/>
                        </pic:nvPicPr>
                        <pic:blipFill>
                          <a:blip r:embed="rId13" cstate="print"/>
                          <a:stretch>
                            <a:fillRect/>
                          </a:stretch>
                        </pic:blipFill>
                        <pic:spPr>
                          <a:xfrm>
                            <a:off x="3432175" y="1392250"/>
                            <a:ext cx="3401695" cy="2361564"/>
                          </a:xfrm>
                          <a:prstGeom prst="rect">
                            <a:avLst/>
                          </a:prstGeom>
                        </pic:spPr>
                      </pic:pic>
                      <pic:pic>
                        <pic:nvPicPr>
                          <pic:cNvPr id="14" name="Image 14"/>
                          <pic:cNvPicPr/>
                        </pic:nvPicPr>
                        <pic:blipFill>
                          <a:blip r:embed="rId14" cstate="print"/>
                          <a:stretch>
                            <a:fillRect/>
                          </a:stretch>
                        </pic:blipFill>
                        <pic:spPr>
                          <a:xfrm>
                            <a:off x="3430270" y="4689932"/>
                            <a:ext cx="3401695" cy="2361565"/>
                          </a:xfrm>
                          <a:prstGeom prst="rect">
                            <a:avLst/>
                          </a:prstGeom>
                        </pic:spPr>
                      </pic:pic>
                    </wpg:wgp>
                  </a:graphicData>
                </a:graphic>
              </wp:anchor>
            </w:drawing>
          </mc:Choice>
          <mc:Fallback>
            <w:pict>
              <v:group style="position:absolute;margin-left:.000009pt;margin-top:.003983pt;width:595.35pt;height:827.6pt;mso-position-horizontal-relative:page;mso-position-vertical-relative:page;z-index:-16088064" id="docshapegroup1" coordorigin="0,0" coordsize="11907,16552">
                <v:shape style="position:absolute;left:0;top:0;width:11907;height:16552" type="#_x0000_t75" id="docshape2" stroked="false">
                  <v:imagedata r:id="rId12" o:title=""/>
                </v:shape>
                <v:rect style="position:absolute;left:1248;top:15037;width:2881;height:12" id="docshape3" filled="true" fillcolor="#000000" stroked="false">
                  <v:fill type="solid"/>
                </v:rect>
                <v:shape style="position:absolute;left:5405;top:2192;width:5357;height:3719" type="#_x0000_t75" id="docshape4" stroked="false">
                  <v:imagedata r:id="rId13" o:title=""/>
                </v:shape>
                <v:shape style="position:absolute;left:5402;top:7385;width:5357;height:3719" type="#_x0000_t75" id="docshape5" stroked="false">
                  <v:imagedata r:id="rId14" o:title=""/>
                </v:shape>
                <w10:wrap type="none"/>
              </v:group>
            </w:pict>
          </mc:Fallback>
        </mc:AlternateContent>
      </w:r>
      <w:r>
        <w:rPr>
          <w:color w:val="242A82"/>
        </w:rPr>
        <w:t>Worker</w:t>
      </w:r>
      <w:r>
        <w:rPr>
          <w:color w:val="242A82"/>
          <w:spacing w:val="-3"/>
        </w:rPr>
        <w:t> </w:t>
      </w:r>
      <w:r>
        <w:rPr>
          <w:color w:val="242A82"/>
        </w:rPr>
        <w:t>trends</w:t>
      </w:r>
      <w:r>
        <w:rPr>
          <w:color w:val="242A82"/>
          <w:spacing w:val="-4"/>
        </w:rPr>
        <w:t> </w:t>
      </w:r>
      <w:r>
        <w:rPr>
          <w:color w:val="242A82"/>
        </w:rPr>
        <w:t>by</w:t>
      </w:r>
      <w:r>
        <w:rPr>
          <w:color w:val="242A82"/>
          <w:spacing w:val="-4"/>
        </w:rPr>
        <w:t> </w:t>
      </w:r>
      <w:r>
        <w:rPr>
          <w:color w:val="242A82"/>
        </w:rPr>
        <w:t>country</w:t>
      </w:r>
      <w:r>
        <w:rPr>
          <w:color w:val="242A82"/>
          <w:spacing w:val="-2"/>
        </w:rPr>
        <w:t> </w:t>
      </w:r>
      <w:r>
        <w:rPr>
          <w:color w:val="242A82"/>
        </w:rPr>
        <w:t>of</w:t>
      </w:r>
      <w:r>
        <w:rPr>
          <w:color w:val="242A82"/>
          <w:spacing w:val="-3"/>
        </w:rPr>
        <w:t> </w:t>
      </w:r>
      <w:r>
        <w:rPr>
          <w:color w:val="242A82"/>
          <w:spacing w:val="-2"/>
        </w:rPr>
        <w:t>origin</w:t>
      </w:r>
    </w:p>
    <w:p>
      <w:pPr>
        <w:pStyle w:val="BodyText"/>
        <w:spacing w:before="239"/>
        <w:ind w:left="115"/>
      </w:pPr>
      <w:r>
        <w:rPr>
          <w:color w:val="252A82"/>
          <w:spacing w:val="-4"/>
        </w:rPr>
        <w:t>Fiji</w:t>
      </w:r>
    </w:p>
    <w:p>
      <w:pPr>
        <w:pStyle w:val="BodyText"/>
        <w:spacing w:before="200"/>
        <w:ind w:left="115" w:right="6217"/>
        <w:jc w:val="both"/>
      </w:pPr>
      <w:r>
        <w:rPr/>
        <w:t>The number</w:t>
      </w:r>
      <w:r>
        <w:rPr>
          <w:spacing w:val="-2"/>
        </w:rPr>
        <w:t> </w:t>
      </w:r>
      <w:r>
        <w:rPr/>
        <w:t>of PALM</w:t>
      </w:r>
      <w:r>
        <w:rPr>
          <w:spacing w:val="-1"/>
        </w:rPr>
        <w:t> </w:t>
      </w:r>
      <w:r>
        <w:rPr/>
        <w:t>scheme workers from Fiji</w:t>
      </w:r>
      <w:r>
        <w:rPr>
          <w:spacing w:val="-7"/>
        </w:rPr>
        <w:t> </w:t>
      </w:r>
      <w:r>
        <w:rPr/>
        <w:t>increased</w:t>
      </w:r>
      <w:r>
        <w:rPr>
          <w:spacing w:val="-7"/>
        </w:rPr>
        <w:t> </w:t>
      </w:r>
      <w:r>
        <w:rPr/>
        <w:t>significantly</w:t>
      </w:r>
      <w:r>
        <w:rPr>
          <w:spacing w:val="-7"/>
        </w:rPr>
        <w:t> </w:t>
      </w:r>
      <w:r>
        <w:rPr/>
        <w:t>over</w:t>
      </w:r>
      <w:r>
        <w:rPr>
          <w:spacing w:val="-9"/>
        </w:rPr>
        <w:t> </w:t>
      </w:r>
      <w:r>
        <w:rPr/>
        <w:t>the</w:t>
      </w:r>
      <w:r>
        <w:rPr>
          <w:spacing w:val="-8"/>
        </w:rPr>
        <w:t> </w:t>
      </w:r>
      <w:r>
        <w:rPr/>
        <w:t>period, up from 1,630 in April 2022, to 6,695 in</w:t>
      </w:r>
    </w:p>
    <w:p>
      <w:pPr>
        <w:pStyle w:val="BodyText"/>
        <w:spacing w:line="232" w:lineRule="exact"/>
        <w:ind w:left="115"/>
        <w:jc w:val="both"/>
      </w:pPr>
      <w:r>
        <w:rPr/>
        <w:t>June</w:t>
      </w:r>
      <w:r>
        <w:rPr>
          <w:spacing w:val="-8"/>
        </w:rPr>
        <w:t> </w:t>
      </w:r>
      <w:r>
        <w:rPr>
          <w:spacing w:val="-2"/>
        </w:rPr>
        <w:t>2024.</w:t>
      </w:r>
    </w:p>
    <w:p>
      <w:pPr>
        <w:pStyle w:val="BodyText"/>
        <w:spacing w:before="120"/>
        <w:ind w:left="115" w:right="6085"/>
      </w:pPr>
      <w:r>
        <w:rPr/>
        <w:t>Around three-quarters of Fijian</w:t>
      </w:r>
      <w:r>
        <w:rPr>
          <w:spacing w:val="-1"/>
        </w:rPr>
        <w:t> </w:t>
      </w:r>
      <w:r>
        <w:rPr/>
        <w:t>workers are in the long-term stream. After a drop in December</w:t>
      </w:r>
      <w:r>
        <w:rPr>
          <w:spacing w:val="-7"/>
        </w:rPr>
        <w:t> </w:t>
      </w:r>
      <w:r>
        <w:rPr/>
        <w:t>2023,</w:t>
      </w:r>
      <w:r>
        <w:rPr>
          <w:spacing w:val="-6"/>
        </w:rPr>
        <w:t> </w:t>
      </w:r>
      <w:r>
        <w:rPr/>
        <w:t>it</w:t>
      </w:r>
      <w:r>
        <w:rPr>
          <w:spacing w:val="-7"/>
        </w:rPr>
        <w:t> </w:t>
      </w:r>
      <w:r>
        <w:rPr/>
        <w:t>took</w:t>
      </w:r>
      <w:r>
        <w:rPr>
          <w:spacing w:val="-7"/>
        </w:rPr>
        <w:t> </w:t>
      </w:r>
      <w:r>
        <w:rPr/>
        <w:t>a</w:t>
      </w:r>
      <w:r>
        <w:rPr>
          <w:spacing w:val="-6"/>
        </w:rPr>
        <w:t> </w:t>
      </w:r>
      <w:r>
        <w:rPr/>
        <w:t>number</w:t>
      </w:r>
      <w:r>
        <w:rPr>
          <w:spacing w:val="-7"/>
        </w:rPr>
        <w:t> </w:t>
      </w:r>
      <w:r>
        <w:rPr/>
        <w:t>of</w:t>
      </w:r>
      <w:r>
        <w:rPr>
          <w:spacing w:val="-6"/>
        </w:rPr>
        <w:t> </w:t>
      </w:r>
      <w:r>
        <w:rPr/>
        <w:t>months for the series to return to earlier levels.</w:t>
      </w:r>
    </w:p>
    <w:p>
      <w:pPr>
        <w:pStyle w:val="ListParagraph"/>
        <w:numPr>
          <w:ilvl w:val="0"/>
          <w:numId w:val="2"/>
        </w:numPr>
        <w:tabs>
          <w:tab w:pos="835" w:val="left" w:leader="none"/>
        </w:tabs>
        <w:spacing w:line="259" w:lineRule="auto" w:before="121" w:after="0"/>
        <w:ind w:left="835" w:right="6118" w:hanging="360"/>
        <w:jc w:val="left"/>
        <w:rPr>
          <w:sz w:val="20"/>
        </w:rPr>
      </w:pPr>
      <w:r>
        <w:rPr>
          <w:sz w:val="20"/>
        </w:rPr>
        <w:t>PALM worker counts are similar for old and new methodologies up to December 2022. The two series</w:t>
      </w:r>
      <w:r>
        <w:rPr>
          <w:spacing w:val="40"/>
          <w:sz w:val="20"/>
        </w:rPr>
        <w:t> </w:t>
      </w:r>
      <w:r>
        <w:rPr>
          <w:sz w:val="20"/>
        </w:rPr>
        <w:t>then</w:t>
      </w:r>
      <w:r>
        <w:rPr>
          <w:spacing w:val="-9"/>
          <w:sz w:val="20"/>
        </w:rPr>
        <w:t> </w:t>
      </w:r>
      <w:r>
        <w:rPr>
          <w:sz w:val="20"/>
        </w:rPr>
        <w:t>diverged</w:t>
      </w:r>
      <w:r>
        <w:rPr>
          <w:spacing w:val="-9"/>
          <w:sz w:val="20"/>
        </w:rPr>
        <w:t> </w:t>
      </w:r>
      <w:r>
        <w:rPr>
          <w:sz w:val="20"/>
        </w:rPr>
        <w:t>and</w:t>
      </w:r>
      <w:r>
        <w:rPr>
          <w:spacing w:val="-8"/>
          <w:sz w:val="20"/>
        </w:rPr>
        <w:t> </w:t>
      </w:r>
      <w:r>
        <w:rPr>
          <w:sz w:val="20"/>
        </w:rPr>
        <w:t>the</w:t>
      </w:r>
      <w:r>
        <w:rPr>
          <w:spacing w:val="-4"/>
          <w:sz w:val="20"/>
        </w:rPr>
        <w:t> </w:t>
      </w:r>
      <w:r>
        <w:rPr>
          <w:sz w:val="20"/>
        </w:rPr>
        <w:t>revised</w:t>
      </w:r>
      <w:r>
        <w:rPr>
          <w:spacing w:val="-9"/>
          <w:sz w:val="20"/>
        </w:rPr>
        <w:t> </w:t>
      </w:r>
      <w:r>
        <w:rPr>
          <w:sz w:val="20"/>
        </w:rPr>
        <w:t>count of PALM workers from Fiji is on average higher than previously reported, by 16% for 2023/24</w:t>
      </w:r>
      <w:hyperlink w:history="true" w:anchor="_bookmark1">
        <w:r>
          <w:rPr>
            <w:sz w:val="20"/>
            <w:vertAlign w:val="superscript"/>
          </w:rPr>
          <w:t>1</w:t>
        </w:r>
      </w:hyperlink>
      <w:r>
        <w:rPr>
          <w:sz w:val="20"/>
          <w:vertAlign w:val="baseline"/>
        </w:rPr>
        <w:t>.</w:t>
      </w:r>
    </w:p>
    <w:p>
      <w:pPr>
        <w:pStyle w:val="BodyText"/>
      </w:pPr>
    </w:p>
    <w:p>
      <w:pPr>
        <w:pStyle w:val="BodyText"/>
      </w:pPr>
    </w:p>
    <w:p>
      <w:pPr>
        <w:pStyle w:val="BodyText"/>
        <w:spacing w:before="204"/>
      </w:pPr>
    </w:p>
    <w:p>
      <w:pPr>
        <w:pStyle w:val="BodyText"/>
        <w:ind w:left="115"/>
      </w:pPr>
      <w:r>
        <w:rPr>
          <w:color w:val="252A82"/>
          <w:spacing w:val="-2"/>
        </w:rPr>
        <w:t>Kiribati</w:t>
      </w:r>
    </w:p>
    <w:p>
      <w:pPr>
        <w:pStyle w:val="BodyText"/>
        <w:spacing w:line="259" w:lineRule="auto" w:before="203"/>
        <w:ind w:left="115" w:right="6127"/>
      </w:pPr>
      <w:r>
        <w:rPr/>
        <w:t>The total number of workers from Kiribati has been steadily increasing, from 785 in April 2022, to 1,665 in June 2024 (up by 112%). Around 72% of workers from Kiribati were</w:t>
      </w:r>
      <w:r>
        <w:rPr>
          <w:spacing w:val="-6"/>
        </w:rPr>
        <w:t> </w:t>
      </w:r>
      <w:r>
        <w:rPr/>
        <w:t>in</w:t>
      </w:r>
      <w:r>
        <w:rPr>
          <w:spacing w:val="-7"/>
        </w:rPr>
        <w:t> </w:t>
      </w:r>
      <w:r>
        <w:rPr/>
        <w:t>the</w:t>
      </w:r>
      <w:r>
        <w:rPr>
          <w:spacing w:val="-6"/>
        </w:rPr>
        <w:t> </w:t>
      </w:r>
      <w:r>
        <w:rPr/>
        <w:t>long-term</w:t>
      </w:r>
      <w:r>
        <w:rPr>
          <w:spacing w:val="-6"/>
        </w:rPr>
        <w:t> </w:t>
      </w:r>
      <w:r>
        <w:rPr/>
        <w:t>stream,</w:t>
      </w:r>
      <w:r>
        <w:rPr>
          <w:spacing w:val="-4"/>
        </w:rPr>
        <w:t> </w:t>
      </w:r>
      <w:r>
        <w:rPr/>
        <w:t>the</w:t>
      </w:r>
      <w:r>
        <w:rPr>
          <w:spacing w:val="-7"/>
        </w:rPr>
        <w:t> </w:t>
      </w:r>
      <w:r>
        <w:rPr/>
        <w:t>source</w:t>
      </w:r>
      <w:r>
        <w:rPr>
          <w:spacing w:val="-6"/>
        </w:rPr>
        <w:t> </w:t>
      </w:r>
      <w:r>
        <w:rPr/>
        <w:t>of all of the growth; worker counts in the short-term stream have been mainly steady over the period.</w:t>
      </w:r>
    </w:p>
    <w:p>
      <w:pPr>
        <w:pStyle w:val="ListParagraph"/>
        <w:numPr>
          <w:ilvl w:val="0"/>
          <w:numId w:val="2"/>
        </w:numPr>
        <w:tabs>
          <w:tab w:pos="835" w:val="left" w:leader="none"/>
        </w:tabs>
        <w:spacing w:line="240" w:lineRule="auto" w:before="119" w:after="0"/>
        <w:ind w:left="835" w:right="6231" w:hanging="360"/>
        <w:jc w:val="left"/>
        <w:rPr>
          <w:sz w:val="20"/>
        </w:rPr>
      </w:pPr>
      <w:r>
        <w:rPr>
          <w:sz w:val="20"/>
        </w:rPr>
        <w:t>The</w:t>
      </w:r>
      <w:r>
        <w:rPr>
          <w:spacing w:val="-6"/>
          <w:sz w:val="20"/>
        </w:rPr>
        <w:t> </w:t>
      </w:r>
      <w:r>
        <w:rPr>
          <w:sz w:val="20"/>
        </w:rPr>
        <w:t>revised</w:t>
      </w:r>
      <w:r>
        <w:rPr>
          <w:spacing w:val="-8"/>
          <w:sz w:val="20"/>
        </w:rPr>
        <w:t> </w:t>
      </w:r>
      <w:r>
        <w:rPr>
          <w:sz w:val="20"/>
        </w:rPr>
        <w:t>counts</w:t>
      </w:r>
      <w:r>
        <w:rPr>
          <w:spacing w:val="-7"/>
          <w:sz w:val="20"/>
        </w:rPr>
        <w:t> </w:t>
      </w:r>
      <w:r>
        <w:rPr>
          <w:sz w:val="20"/>
        </w:rPr>
        <w:t>of</w:t>
      </w:r>
      <w:r>
        <w:rPr>
          <w:spacing w:val="-7"/>
          <w:sz w:val="20"/>
        </w:rPr>
        <w:t> </w:t>
      </w:r>
      <w:r>
        <w:rPr>
          <w:sz w:val="20"/>
        </w:rPr>
        <w:t>PALM</w:t>
      </w:r>
      <w:r>
        <w:rPr>
          <w:spacing w:val="-8"/>
          <w:sz w:val="20"/>
        </w:rPr>
        <w:t> </w:t>
      </w:r>
      <w:r>
        <w:rPr>
          <w:sz w:val="20"/>
        </w:rPr>
        <w:t>worker numbers from Kiribati are on average lower than previously reported, by between 5% and 10% for 2023/24.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8"/>
      </w:pPr>
    </w:p>
    <w:p>
      <w:pPr>
        <w:pStyle w:val="BodyText"/>
        <w:spacing w:before="1"/>
        <w:ind w:left="115"/>
      </w:pPr>
      <w:bookmarkStart w:name="_bookmark1" w:id="2"/>
      <w:bookmarkEnd w:id="2"/>
      <w:r>
        <w:rPr/>
      </w:r>
      <w:r>
        <w:rPr>
          <w:position w:val="7"/>
          <w:sz w:val="13"/>
        </w:rPr>
        <w:t>1</w:t>
      </w:r>
      <w:r>
        <w:rPr>
          <w:spacing w:val="14"/>
          <w:position w:val="7"/>
          <w:sz w:val="13"/>
        </w:rPr>
        <w:t> </w:t>
      </w:r>
      <w:r>
        <w:rPr/>
        <w:t>In</w:t>
      </w:r>
      <w:r>
        <w:rPr>
          <w:spacing w:val="-7"/>
        </w:rPr>
        <w:t> </w:t>
      </w:r>
      <w:r>
        <w:rPr/>
        <w:t>this</w:t>
      </w:r>
      <w:r>
        <w:rPr>
          <w:spacing w:val="-6"/>
        </w:rPr>
        <w:t> </w:t>
      </w:r>
      <w:r>
        <w:rPr/>
        <w:t>report,</w:t>
      </w:r>
      <w:r>
        <w:rPr>
          <w:spacing w:val="-4"/>
        </w:rPr>
        <w:t> </w:t>
      </w:r>
      <w:r>
        <w:rPr/>
        <w:t>2023/24</w:t>
      </w:r>
      <w:r>
        <w:rPr>
          <w:spacing w:val="-5"/>
        </w:rPr>
        <w:t> </w:t>
      </w:r>
      <w:r>
        <w:rPr/>
        <w:t>refers</w:t>
      </w:r>
      <w:r>
        <w:rPr>
          <w:spacing w:val="-5"/>
        </w:rPr>
        <w:t> </w:t>
      </w:r>
      <w:r>
        <w:rPr/>
        <w:t>to</w:t>
      </w:r>
      <w:r>
        <w:rPr>
          <w:spacing w:val="-3"/>
        </w:rPr>
        <w:t> </w:t>
      </w:r>
      <w:r>
        <w:rPr/>
        <w:t>the</w:t>
      </w:r>
      <w:r>
        <w:rPr>
          <w:spacing w:val="-6"/>
        </w:rPr>
        <w:t> </w:t>
      </w:r>
      <w:r>
        <w:rPr/>
        <w:t>period</w:t>
      </w:r>
      <w:r>
        <w:rPr>
          <w:spacing w:val="-6"/>
        </w:rPr>
        <w:t> </w:t>
      </w:r>
      <w:r>
        <w:rPr/>
        <w:t>June</w:t>
      </w:r>
      <w:r>
        <w:rPr>
          <w:spacing w:val="-7"/>
        </w:rPr>
        <w:t> </w:t>
      </w:r>
      <w:r>
        <w:rPr/>
        <w:t>2023</w:t>
      </w:r>
      <w:r>
        <w:rPr>
          <w:spacing w:val="-5"/>
        </w:rPr>
        <w:t> </w:t>
      </w:r>
      <w:r>
        <w:rPr/>
        <w:t>to</w:t>
      </w:r>
      <w:r>
        <w:rPr>
          <w:spacing w:val="-5"/>
        </w:rPr>
        <w:t> </w:t>
      </w:r>
      <w:r>
        <w:rPr/>
        <w:t>February</w:t>
      </w:r>
      <w:r>
        <w:rPr>
          <w:spacing w:val="-6"/>
        </w:rPr>
        <w:t> </w:t>
      </w:r>
      <w:r>
        <w:rPr>
          <w:spacing w:val="-2"/>
        </w:rPr>
        <w:t>2024.</w:t>
      </w:r>
    </w:p>
    <w:p>
      <w:pPr>
        <w:pStyle w:val="BodyText"/>
        <w:rPr>
          <w:sz w:val="16"/>
        </w:rPr>
      </w:pPr>
    </w:p>
    <w:p>
      <w:pPr>
        <w:pStyle w:val="BodyText"/>
        <w:spacing w:before="163"/>
        <w:rPr>
          <w:sz w:val="16"/>
        </w:rPr>
      </w:pPr>
    </w:p>
    <w:p>
      <w:pPr>
        <w:spacing w:line="185" w:lineRule="exact" w:before="0"/>
        <w:ind w:left="9556" w:right="0" w:firstLine="0"/>
        <w:jc w:val="left"/>
        <w:rPr>
          <w:sz w:val="16"/>
        </w:rPr>
      </w:pPr>
      <w:r>
        <w:rPr>
          <w:color w:val="242A82"/>
          <w:spacing w:val="-10"/>
          <w:sz w:val="16"/>
        </w:rPr>
        <w:t>6</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BodyText"/>
        <w:spacing w:before="86"/>
        <w:ind w:left="115"/>
      </w:pPr>
      <w:r>
        <w:rPr/>
        <w:drawing>
          <wp:anchor distT="0" distB="0" distL="0" distR="0" allowOverlap="1" layoutInCell="1" locked="0" behindDoc="1" simplePos="0" relativeHeight="487228928">
            <wp:simplePos x="0" y="0"/>
            <wp:positionH relativeFrom="page">
              <wp:posOffset>0</wp:posOffset>
            </wp:positionH>
            <wp:positionV relativeFrom="page">
              <wp:posOffset>60</wp:posOffset>
            </wp:positionV>
            <wp:extent cx="7560564" cy="10657459"/>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7560564" cy="10657459"/>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3671570</wp:posOffset>
            </wp:positionH>
            <wp:positionV relativeFrom="paragraph">
              <wp:posOffset>128015</wp:posOffset>
            </wp:positionV>
            <wp:extent cx="3419475" cy="237197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3419475" cy="2371979"/>
                    </a:xfrm>
                    <a:prstGeom prst="rect">
                      <a:avLst/>
                    </a:prstGeom>
                  </pic:spPr>
                </pic:pic>
              </a:graphicData>
            </a:graphic>
          </wp:anchor>
        </w:drawing>
      </w:r>
      <w:r>
        <w:rPr>
          <w:color w:val="252A82"/>
          <w:spacing w:val="-2"/>
        </w:rPr>
        <w:t>Nauru</w:t>
      </w:r>
    </w:p>
    <w:p>
      <w:pPr>
        <w:pStyle w:val="BodyText"/>
        <w:spacing w:line="259" w:lineRule="auto" w:before="203"/>
        <w:ind w:left="115" w:right="5794"/>
      </w:pPr>
      <w:r>
        <w:rPr/>
        <w:t>Nauru has a small number of workers which remained</w:t>
      </w:r>
      <w:r>
        <w:rPr>
          <w:spacing w:val="-7"/>
        </w:rPr>
        <w:t> </w:t>
      </w:r>
      <w:r>
        <w:rPr/>
        <w:t>roughly</w:t>
      </w:r>
      <w:r>
        <w:rPr>
          <w:spacing w:val="-7"/>
        </w:rPr>
        <w:t> </w:t>
      </w:r>
      <w:r>
        <w:rPr/>
        <w:t>level</w:t>
      </w:r>
      <w:r>
        <w:rPr>
          <w:spacing w:val="-6"/>
        </w:rPr>
        <w:t> </w:t>
      </w:r>
      <w:r>
        <w:rPr/>
        <w:t>between</w:t>
      </w:r>
      <w:r>
        <w:rPr>
          <w:spacing w:val="-4"/>
        </w:rPr>
        <w:t> </w:t>
      </w:r>
      <w:r>
        <w:rPr/>
        <w:t>April</w:t>
      </w:r>
      <w:r>
        <w:rPr>
          <w:spacing w:val="-6"/>
        </w:rPr>
        <w:t> </w:t>
      </w:r>
      <w:r>
        <w:rPr/>
        <w:t>2022</w:t>
      </w:r>
      <w:r>
        <w:rPr>
          <w:spacing w:val="-6"/>
        </w:rPr>
        <w:t> </w:t>
      </w:r>
      <w:r>
        <w:rPr/>
        <w:t>and December</w:t>
      </w:r>
      <w:r>
        <w:rPr>
          <w:spacing w:val="-4"/>
        </w:rPr>
        <w:t> </w:t>
      </w:r>
      <w:r>
        <w:rPr/>
        <w:t>2023.</w:t>
      </w:r>
      <w:r>
        <w:rPr>
          <w:spacing w:val="-3"/>
        </w:rPr>
        <w:t> </w:t>
      </w:r>
      <w:r>
        <w:rPr/>
        <w:t>In</w:t>
      </w:r>
      <w:r>
        <w:rPr>
          <w:spacing w:val="-5"/>
        </w:rPr>
        <w:t> </w:t>
      </w:r>
      <w:r>
        <w:rPr/>
        <w:t>2024, worker</w:t>
      </w:r>
      <w:r>
        <w:rPr>
          <w:spacing w:val="-2"/>
        </w:rPr>
        <w:t> </w:t>
      </w:r>
      <w:r>
        <w:rPr/>
        <w:t>numbers</w:t>
      </w:r>
      <w:r>
        <w:rPr>
          <w:spacing w:val="-3"/>
        </w:rPr>
        <w:t> </w:t>
      </w:r>
      <w:r>
        <w:rPr/>
        <w:t>from Nauru have risen to their highest levels.</w:t>
      </w:r>
    </w:p>
    <w:p>
      <w:pPr>
        <w:pStyle w:val="ListParagraph"/>
        <w:numPr>
          <w:ilvl w:val="0"/>
          <w:numId w:val="2"/>
        </w:numPr>
        <w:tabs>
          <w:tab w:pos="835" w:val="left" w:leader="none"/>
        </w:tabs>
        <w:spacing w:line="259" w:lineRule="auto" w:before="119" w:after="0"/>
        <w:ind w:left="835" w:right="5903" w:hanging="360"/>
        <w:jc w:val="left"/>
        <w:rPr>
          <w:sz w:val="20"/>
        </w:rPr>
      </w:pPr>
      <w:r>
        <w:rPr>
          <w:sz w:val="20"/>
        </w:rPr>
        <w:t>While</w:t>
      </w:r>
      <w:r>
        <w:rPr>
          <w:spacing w:val="-8"/>
          <w:sz w:val="20"/>
        </w:rPr>
        <w:t> </w:t>
      </w:r>
      <w:r>
        <w:rPr>
          <w:sz w:val="20"/>
        </w:rPr>
        <w:t>the</w:t>
      </w:r>
      <w:r>
        <w:rPr>
          <w:spacing w:val="-6"/>
          <w:sz w:val="20"/>
        </w:rPr>
        <w:t> </w:t>
      </w:r>
      <w:r>
        <w:rPr>
          <w:sz w:val="20"/>
        </w:rPr>
        <w:t>differences</w:t>
      </w:r>
      <w:r>
        <w:rPr>
          <w:spacing w:val="-8"/>
          <w:sz w:val="20"/>
        </w:rPr>
        <w:t> </w:t>
      </w:r>
      <w:r>
        <w:rPr>
          <w:sz w:val="20"/>
        </w:rPr>
        <w:t>between</w:t>
      </w:r>
      <w:r>
        <w:rPr>
          <w:spacing w:val="-5"/>
          <w:sz w:val="20"/>
        </w:rPr>
        <w:t> </w:t>
      </w:r>
      <w:r>
        <w:rPr>
          <w:sz w:val="20"/>
        </w:rPr>
        <w:t>the</w:t>
      </w:r>
      <w:r>
        <w:rPr>
          <w:spacing w:val="-8"/>
          <w:sz w:val="20"/>
        </w:rPr>
        <w:t> </w:t>
      </w:r>
      <w:r>
        <w:rPr>
          <w:sz w:val="20"/>
        </w:rPr>
        <w:t>old and new methodologies may seem large, they are based on very small numbers and do not represent significant changes.</w:t>
      </w:r>
    </w:p>
    <w:p>
      <w:pPr>
        <w:pStyle w:val="BodyText"/>
      </w:pPr>
    </w:p>
    <w:p>
      <w:pPr>
        <w:pStyle w:val="BodyText"/>
      </w:pPr>
    </w:p>
    <w:p>
      <w:pPr>
        <w:pStyle w:val="BodyText"/>
      </w:pPr>
    </w:p>
    <w:p>
      <w:pPr>
        <w:pStyle w:val="BodyText"/>
      </w:pPr>
    </w:p>
    <w:p>
      <w:pPr>
        <w:pStyle w:val="BodyText"/>
      </w:pPr>
    </w:p>
    <w:p>
      <w:pPr>
        <w:pStyle w:val="BodyText"/>
        <w:spacing w:before="212"/>
      </w:pPr>
    </w:p>
    <w:p>
      <w:pPr>
        <w:pStyle w:val="BodyText"/>
        <w:spacing w:before="1"/>
        <w:ind w:left="115"/>
      </w:pPr>
      <w:r>
        <w:rPr>
          <w:color w:val="252A82"/>
        </w:rPr>
        <w:t>Papua</w:t>
      </w:r>
      <w:r>
        <w:rPr>
          <w:color w:val="252A82"/>
          <w:spacing w:val="-7"/>
        </w:rPr>
        <w:t> </w:t>
      </w:r>
      <w:r>
        <w:rPr>
          <w:color w:val="252A82"/>
        </w:rPr>
        <w:t>New</w:t>
      </w:r>
      <w:r>
        <w:rPr>
          <w:color w:val="252A82"/>
          <w:spacing w:val="-7"/>
        </w:rPr>
        <w:t> </w:t>
      </w:r>
      <w:r>
        <w:rPr>
          <w:color w:val="252A82"/>
          <w:spacing w:val="-2"/>
        </w:rPr>
        <w:t>Guinea</w:t>
      </w:r>
    </w:p>
    <w:p>
      <w:pPr>
        <w:pStyle w:val="BodyText"/>
        <w:spacing w:before="199"/>
        <w:ind w:left="115" w:right="5713"/>
      </w:pPr>
      <w:r>
        <w:rPr/>
        <w:drawing>
          <wp:anchor distT="0" distB="0" distL="0" distR="0" allowOverlap="1" layoutInCell="1" locked="0" behindDoc="0" simplePos="0" relativeHeight="15734784">
            <wp:simplePos x="0" y="0"/>
            <wp:positionH relativeFrom="page">
              <wp:posOffset>3673475</wp:posOffset>
            </wp:positionH>
            <wp:positionV relativeFrom="paragraph">
              <wp:posOffset>127787</wp:posOffset>
            </wp:positionV>
            <wp:extent cx="3421379" cy="237744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6" cstate="print"/>
                    <a:stretch>
                      <a:fillRect/>
                    </a:stretch>
                  </pic:blipFill>
                  <pic:spPr>
                    <a:xfrm>
                      <a:off x="0" y="0"/>
                      <a:ext cx="3421379" cy="2377440"/>
                    </a:xfrm>
                    <a:prstGeom prst="rect">
                      <a:avLst/>
                    </a:prstGeom>
                  </pic:spPr>
                </pic:pic>
              </a:graphicData>
            </a:graphic>
          </wp:anchor>
        </w:drawing>
      </w:r>
      <w:r>
        <w:rPr/>
        <w:t>Overall,</w:t>
      </w:r>
      <w:r>
        <w:rPr>
          <w:spacing w:val="-6"/>
        </w:rPr>
        <w:t> </w:t>
      </w:r>
      <w:r>
        <w:rPr/>
        <w:t>the</w:t>
      </w:r>
      <w:r>
        <w:rPr>
          <w:spacing w:val="-7"/>
        </w:rPr>
        <w:t> </w:t>
      </w:r>
      <w:r>
        <w:rPr/>
        <w:t>total</w:t>
      </w:r>
      <w:r>
        <w:rPr>
          <w:spacing w:val="-6"/>
        </w:rPr>
        <w:t> </w:t>
      </w:r>
      <w:r>
        <w:rPr/>
        <w:t>number</w:t>
      </w:r>
      <w:r>
        <w:rPr>
          <w:spacing w:val="-3"/>
        </w:rPr>
        <w:t> </w:t>
      </w:r>
      <w:r>
        <w:rPr/>
        <w:t>of</w:t>
      </w:r>
      <w:r>
        <w:rPr>
          <w:spacing w:val="-6"/>
        </w:rPr>
        <w:t> </w:t>
      </w:r>
      <w:r>
        <w:rPr/>
        <w:t>PALM</w:t>
      </w:r>
      <w:r>
        <w:rPr>
          <w:spacing w:val="-7"/>
        </w:rPr>
        <w:t> </w:t>
      </w:r>
      <w:r>
        <w:rPr/>
        <w:t>workers</w:t>
      </w:r>
      <w:r>
        <w:rPr>
          <w:spacing w:val="-6"/>
        </w:rPr>
        <w:t> </w:t>
      </w:r>
      <w:r>
        <w:rPr/>
        <w:t>from Papua New Guinea has risen strongly over the period, increasing from 385 in April 2022 to 1,935 in June 2024.</w:t>
      </w:r>
    </w:p>
    <w:p>
      <w:pPr>
        <w:pStyle w:val="BodyText"/>
        <w:spacing w:before="120"/>
        <w:ind w:left="115" w:right="5794"/>
      </w:pPr>
      <w:r>
        <w:rPr/>
        <w:t>The 20% drop in December 2023 is noteworthy, as is the subsequent rebound in the following two</w:t>
      </w:r>
      <w:r>
        <w:rPr>
          <w:spacing w:val="-6"/>
        </w:rPr>
        <w:t> </w:t>
      </w:r>
      <w:r>
        <w:rPr/>
        <w:t>months.</w:t>
      </w:r>
      <w:r>
        <w:rPr>
          <w:spacing w:val="-5"/>
        </w:rPr>
        <w:t> </w:t>
      </w:r>
      <w:r>
        <w:rPr/>
        <w:t>Around</w:t>
      </w:r>
      <w:r>
        <w:rPr>
          <w:spacing w:val="-6"/>
        </w:rPr>
        <w:t> </w:t>
      </w:r>
      <w:r>
        <w:rPr/>
        <w:t>80%</w:t>
      </w:r>
      <w:r>
        <w:rPr>
          <w:spacing w:val="-6"/>
        </w:rPr>
        <w:t> </w:t>
      </w:r>
      <w:r>
        <w:rPr/>
        <w:t>of</w:t>
      </w:r>
      <w:r>
        <w:rPr>
          <w:spacing w:val="-5"/>
        </w:rPr>
        <w:t> </w:t>
      </w:r>
      <w:r>
        <w:rPr/>
        <w:t>Papua</w:t>
      </w:r>
      <w:r>
        <w:rPr>
          <w:spacing w:val="-6"/>
        </w:rPr>
        <w:t> </w:t>
      </w:r>
      <w:r>
        <w:rPr/>
        <w:t>New</w:t>
      </w:r>
      <w:r>
        <w:rPr>
          <w:spacing w:val="-6"/>
        </w:rPr>
        <w:t> </w:t>
      </w:r>
      <w:r>
        <w:rPr/>
        <w:t>Guinean workers were in the long-term stream in June </w:t>
      </w:r>
      <w:r>
        <w:rPr>
          <w:spacing w:val="-2"/>
        </w:rPr>
        <w:t>2024.</w:t>
      </w:r>
    </w:p>
    <w:p>
      <w:pPr>
        <w:pStyle w:val="ListParagraph"/>
        <w:numPr>
          <w:ilvl w:val="0"/>
          <w:numId w:val="2"/>
        </w:numPr>
        <w:tabs>
          <w:tab w:pos="835" w:val="left" w:leader="none"/>
        </w:tabs>
        <w:spacing w:line="240" w:lineRule="auto" w:before="122" w:after="0"/>
        <w:ind w:left="835" w:right="5759" w:hanging="360"/>
        <w:jc w:val="left"/>
        <w:rPr>
          <w:sz w:val="20"/>
        </w:rPr>
      </w:pPr>
      <w:r>
        <w:rPr>
          <w:sz w:val="20"/>
        </w:rPr>
        <w:t>The revised count of PALM worker numbers</w:t>
      </w:r>
      <w:r>
        <w:rPr>
          <w:spacing w:val="-6"/>
          <w:sz w:val="20"/>
        </w:rPr>
        <w:t> </w:t>
      </w:r>
      <w:r>
        <w:rPr>
          <w:sz w:val="20"/>
        </w:rPr>
        <w:t>from</w:t>
      </w:r>
      <w:r>
        <w:rPr>
          <w:spacing w:val="-8"/>
          <w:sz w:val="20"/>
        </w:rPr>
        <w:t> </w:t>
      </w:r>
      <w:r>
        <w:rPr>
          <w:sz w:val="20"/>
        </w:rPr>
        <w:t>Papua</w:t>
      </w:r>
      <w:r>
        <w:rPr>
          <w:spacing w:val="-7"/>
          <w:sz w:val="20"/>
        </w:rPr>
        <w:t> </w:t>
      </w:r>
      <w:r>
        <w:rPr>
          <w:sz w:val="20"/>
        </w:rPr>
        <w:t>New</w:t>
      </w:r>
      <w:r>
        <w:rPr>
          <w:spacing w:val="-5"/>
          <w:sz w:val="20"/>
        </w:rPr>
        <w:t> </w:t>
      </w:r>
      <w:r>
        <w:rPr>
          <w:sz w:val="20"/>
        </w:rPr>
        <w:t>Guinea</w:t>
      </w:r>
      <w:r>
        <w:rPr>
          <w:spacing w:val="-5"/>
          <w:sz w:val="20"/>
        </w:rPr>
        <w:t> </w:t>
      </w:r>
      <w:r>
        <w:rPr>
          <w:sz w:val="20"/>
        </w:rPr>
        <w:t>are</w:t>
      </w:r>
      <w:r>
        <w:rPr>
          <w:spacing w:val="-8"/>
          <w:sz w:val="20"/>
        </w:rPr>
        <w:t> </w:t>
      </w:r>
      <w:r>
        <w:rPr>
          <w:sz w:val="20"/>
        </w:rPr>
        <w:t>on average higher than previously reported, by 7% for 2023/24.</w:t>
      </w:r>
    </w:p>
    <w:p>
      <w:pPr>
        <w:pStyle w:val="BodyText"/>
      </w:pPr>
    </w:p>
    <w:p>
      <w:pPr>
        <w:pStyle w:val="BodyText"/>
      </w:pPr>
    </w:p>
    <w:p>
      <w:pPr>
        <w:pStyle w:val="BodyText"/>
      </w:pPr>
    </w:p>
    <w:p>
      <w:pPr>
        <w:pStyle w:val="BodyText"/>
      </w:pPr>
    </w:p>
    <w:p>
      <w:pPr>
        <w:pStyle w:val="BodyText"/>
        <w:spacing w:before="94"/>
      </w:pPr>
    </w:p>
    <w:p>
      <w:pPr>
        <w:pStyle w:val="BodyText"/>
        <w:ind w:left="115"/>
      </w:pPr>
      <w:r>
        <w:rPr/>
        <w:drawing>
          <wp:anchor distT="0" distB="0" distL="0" distR="0" allowOverlap="1" layoutInCell="1" locked="0" behindDoc="0" simplePos="0" relativeHeight="15735296">
            <wp:simplePos x="0" y="0"/>
            <wp:positionH relativeFrom="page">
              <wp:posOffset>3714750</wp:posOffset>
            </wp:positionH>
            <wp:positionV relativeFrom="paragraph">
              <wp:posOffset>201346</wp:posOffset>
            </wp:positionV>
            <wp:extent cx="3419475" cy="237197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7" cstate="print"/>
                    <a:stretch>
                      <a:fillRect/>
                    </a:stretch>
                  </pic:blipFill>
                  <pic:spPr>
                    <a:xfrm>
                      <a:off x="0" y="0"/>
                      <a:ext cx="3419475" cy="2371979"/>
                    </a:xfrm>
                    <a:prstGeom prst="rect">
                      <a:avLst/>
                    </a:prstGeom>
                  </pic:spPr>
                </pic:pic>
              </a:graphicData>
            </a:graphic>
          </wp:anchor>
        </w:drawing>
      </w:r>
      <w:r>
        <w:rPr>
          <w:color w:val="252A82"/>
          <w:spacing w:val="-2"/>
        </w:rPr>
        <w:t>Samoa</w:t>
      </w:r>
    </w:p>
    <w:p>
      <w:pPr>
        <w:pStyle w:val="BodyText"/>
        <w:spacing w:line="259" w:lineRule="auto" w:before="202"/>
        <w:ind w:left="115" w:right="5703"/>
      </w:pPr>
      <w:r>
        <w:rPr/>
        <w:t>The total number of workers from Samoa has been</w:t>
      </w:r>
      <w:r>
        <w:rPr>
          <w:spacing w:val="-8"/>
        </w:rPr>
        <w:t> </w:t>
      </w:r>
      <w:r>
        <w:rPr/>
        <w:t>generally</w:t>
      </w:r>
      <w:r>
        <w:rPr>
          <w:spacing w:val="-7"/>
        </w:rPr>
        <w:t> </w:t>
      </w:r>
      <w:r>
        <w:rPr/>
        <w:t>declining</w:t>
      </w:r>
      <w:r>
        <w:rPr>
          <w:spacing w:val="-2"/>
        </w:rPr>
        <w:t> </w:t>
      </w:r>
      <w:r>
        <w:rPr/>
        <w:t>between</w:t>
      </w:r>
      <w:r>
        <w:rPr>
          <w:spacing w:val="-6"/>
        </w:rPr>
        <w:t> </w:t>
      </w:r>
      <w:r>
        <w:rPr/>
        <w:t>April</w:t>
      </w:r>
      <w:r>
        <w:rPr>
          <w:spacing w:val="-6"/>
        </w:rPr>
        <w:t> </w:t>
      </w:r>
      <w:r>
        <w:rPr/>
        <w:t>2022</w:t>
      </w:r>
      <w:r>
        <w:rPr>
          <w:spacing w:val="-5"/>
        </w:rPr>
        <w:t> </w:t>
      </w:r>
      <w:r>
        <w:rPr/>
        <w:t>and June 2024, despite some volatility in the series during 2024. The decline over the period occurs mostly in the short-term stream, with around 42% of Samoan PALM scheme workers participating in the short-term stream.</w:t>
      </w:r>
    </w:p>
    <w:p>
      <w:pPr>
        <w:pStyle w:val="ListParagraph"/>
        <w:numPr>
          <w:ilvl w:val="0"/>
          <w:numId w:val="2"/>
        </w:numPr>
        <w:tabs>
          <w:tab w:pos="835" w:val="left" w:leader="none"/>
        </w:tabs>
        <w:spacing w:line="256" w:lineRule="auto" w:before="121" w:after="0"/>
        <w:ind w:left="835" w:right="5861" w:hanging="360"/>
        <w:jc w:val="left"/>
        <w:rPr>
          <w:sz w:val="20"/>
        </w:rPr>
      </w:pPr>
      <w:r>
        <w:rPr>
          <w:sz w:val="20"/>
        </w:rPr>
        <w:t>The revised count of PALM worker numbers from Samoa are on average lower</w:t>
      </w:r>
      <w:r>
        <w:rPr>
          <w:spacing w:val="-8"/>
          <w:sz w:val="20"/>
        </w:rPr>
        <w:t> </w:t>
      </w:r>
      <w:r>
        <w:rPr>
          <w:sz w:val="20"/>
        </w:rPr>
        <w:t>than</w:t>
      </w:r>
      <w:r>
        <w:rPr>
          <w:spacing w:val="-6"/>
          <w:sz w:val="20"/>
        </w:rPr>
        <w:t> </w:t>
      </w:r>
      <w:r>
        <w:rPr>
          <w:sz w:val="20"/>
        </w:rPr>
        <w:t>previously</w:t>
      </w:r>
      <w:r>
        <w:rPr>
          <w:spacing w:val="-8"/>
          <w:sz w:val="20"/>
        </w:rPr>
        <w:t> </w:t>
      </w:r>
      <w:r>
        <w:rPr>
          <w:sz w:val="20"/>
        </w:rPr>
        <w:t>reported,</w:t>
      </w:r>
      <w:r>
        <w:rPr>
          <w:spacing w:val="-7"/>
          <w:sz w:val="20"/>
        </w:rPr>
        <w:t> </w:t>
      </w:r>
      <w:r>
        <w:rPr>
          <w:sz w:val="20"/>
        </w:rPr>
        <w:t>by</w:t>
      </w:r>
      <w:r>
        <w:rPr>
          <w:spacing w:val="-8"/>
          <w:sz w:val="20"/>
        </w:rPr>
        <w:t> </w:t>
      </w:r>
      <w:r>
        <w:rPr>
          <w:sz w:val="20"/>
        </w:rPr>
        <w:t>18% for 2023/24.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spacing w:line="185" w:lineRule="exact" w:before="0"/>
        <w:ind w:left="9556" w:right="0" w:firstLine="0"/>
        <w:jc w:val="left"/>
        <w:rPr>
          <w:sz w:val="16"/>
        </w:rPr>
      </w:pPr>
      <w:r>
        <w:rPr>
          <w:color w:val="242A82"/>
          <w:spacing w:val="-10"/>
          <w:sz w:val="16"/>
        </w:rPr>
        <w:t>7</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BodyText"/>
        <w:spacing w:before="86"/>
        <w:ind w:left="115"/>
      </w:pPr>
      <w:r>
        <w:rPr/>
        <w:drawing>
          <wp:anchor distT="0" distB="0" distL="0" distR="0" allowOverlap="1" layoutInCell="1" locked="0" behindDoc="1" simplePos="0" relativeHeight="487230976">
            <wp:simplePos x="0" y="0"/>
            <wp:positionH relativeFrom="page">
              <wp:posOffset>0</wp:posOffset>
            </wp:positionH>
            <wp:positionV relativeFrom="page">
              <wp:posOffset>60</wp:posOffset>
            </wp:positionV>
            <wp:extent cx="7560564" cy="1065745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7560564" cy="10657459"/>
                    </a:xfrm>
                    <a:prstGeom prst="rect">
                      <a:avLst/>
                    </a:prstGeom>
                  </pic:spPr>
                </pic:pic>
              </a:graphicData>
            </a:graphic>
          </wp:anchor>
        </w:drawing>
      </w:r>
      <w:r>
        <w:rPr>
          <w:color w:val="252A82"/>
        </w:rPr>
        <w:t>Solomon</w:t>
      </w:r>
      <w:r>
        <w:rPr>
          <w:color w:val="252A82"/>
          <w:spacing w:val="-7"/>
        </w:rPr>
        <w:t> </w:t>
      </w:r>
      <w:r>
        <w:rPr>
          <w:color w:val="252A82"/>
          <w:spacing w:val="-2"/>
        </w:rPr>
        <w:t>Islands</w:t>
      </w:r>
    </w:p>
    <w:p>
      <w:pPr>
        <w:pStyle w:val="BodyText"/>
        <w:spacing w:line="259" w:lineRule="auto" w:before="203"/>
        <w:ind w:left="115" w:right="5748"/>
      </w:pPr>
      <w:r>
        <w:rPr/>
        <w:drawing>
          <wp:anchor distT="0" distB="0" distL="0" distR="0" allowOverlap="1" layoutInCell="1" locked="0" behindDoc="0" simplePos="0" relativeHeight="15736320">
            <wp:simplePos x="0" y="0"/>
            <wp:positionH relativeFrom="page">
              <wp:posOffset>3668395</wp:posOffset>
            </wp:positionH>
            <wp:positionV relativeFrom="paragraph">
              <wp:posOffset>129142</wp:posOffset>
            </wp:positionV>
            <wp:extent cx="3419348" cy="237553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3419348" cy="2375535"/>
                    </a:xfrm>
                    <a:prstGeom prst="rect">
                      <a:avLst/>
                    </a:prstGeom>
                  </pic:spPr>
                </pic:pic>
              </a:graphicData>
            </a:graphic>
          </wp:anchor>
        </w:drawing>
      </w:r>
      <w:r>
        <w:rPr/>
        <w:t>The total number of workers from the Solomon Islands has been increasing over the last two years or so, rising by 74% between April 2022 and June 2024. Around three-quarters of PALM scheme</w:t>
      </w:r>
      <w:r>
        <w:rPr>
          <w:spacing w:val="-6"/>
        </w:rPr>
        <w:t> </w:t>
      </w:r>
      <w:r>
        <w:rPr/>
        <w:t>workers</w:t>
      </w:r>
      <w:r>
        <w:rPr>
          <w:spacing w:val="-5"/>
        </w:rPr>
        <w:t> </w:t>
      </w:r>
      <w:r>
        <w:rPr/>
        <w:t>from</w:t>
      </w:r>
      <w:r>
        <w:rPr>
          <w:spacing w:val="-6"/>
        </w:rPr>
        <w:t> </w:t>
      </w:r>
      <w:r>
        <w:rPr/>
        <w:t>the</w:t>
      </w:r>
      <w:r>
        <w:rPr>
          <w:spacing w:val="-6"/>
        </w:rPr>
        <w:t> </w:t>
      </w:r>
      <w:r>
        <w:rPr/>
        <w:t>Solomon</w:t>
      </w:r>
      <w:r>
        <w:rPr>
          <w:spacing w:val="-7"/>
        </w:rPr>
        <w:t> </w:t>
      </w:r>
      <w:r>
        <w:rPr/>
        <w:t>Islands</w:t>
      </w:r>
      <w:r>
        <w:rPr>
          <w:spacing w:val="-6"/>
        </w:rPr>
        <w:t> </w:t>
      </w:r>
      <w:r>
        <w:rPr/>
        <w:t>are</w:t>
      </w:r>
      <w:r>
        <w:rPr>
          <w:spacing w:val="-6"/>
        </w:rPr>
        <w:t> </w:t>
      </w:r>
      <w:r>
        <w:rPr/>
        <w:t>in the long-term stream.</w:t>
      </w:r>
    </w:p>
    <w:p>
      <w:pPr>
        <w:pStyle w:val="ListParagraph"/>
        <w:numPr>
          <w:ilvl w:val="0"/>
          <w:numId w:val="2"/>
        </w:numPr>
        <w:tabs>
          <w:tab w:pos="835" w:val="left" w:leader="none"/>
        </w:tabs>
        <w:spacing w:line="240" w:lineRule="auto" w:before="119" w:after="0"/>
        <w:ind w:left="835" w:right="5793" w:hanging="360"/>
        <w:jc w:val="left"/>
        <w:rPr>
          <w:sz w:val="20"/>
        </w:rPr>
      </w:pPr>
      <w:r>
        <w:rPr>
          <w:sz w:val="20"/>
        </w:rPr>
        <w:t>The revised counts of PALM worker numbers from the Solomon Islands are lower than previously reported, by around 3% on average for 2023/24, excluding</w:t>
      </w:r>
      <w:r>
        <w:rPr>
          <w:spacing w:val="-10"/>
          <w:sz w:val="20"/>
        </w:rPr>
        <w:t> </w:t>
      </w:r>
      <w:r>
        <w:rPr>
          <w:sz w:val="20"/>
        </w:rPr>
        <w:t>the</w:t>
      </w:r>
      <w:r>
        <w:rPr>
          <w:spacing w:val="-10"/>
          <w:sz w:val="20"/>
        </w:rPr>
        <w:t> </w:t>
      </w:r>
      <w:r>
        <w:rPr>
          <w:sz w:val="20"/>
        </w:rPr>
        <w:t>large</w:t>
      </w:r>
      <w:r>
        <w:rPr>
          <w:spacing w:val="-9"/>
          <w:sz w:val="20"/>
        </w:rPr>
        <w:t> </w:t>
      </w:r>
      <w:r>
        <w:rPr>
          <w:sz w:val="20"/>
        </w:rPr>
        <w:t>difference</w:t>
      </w:r>
      <w:r>
        <w:rPr>
          <w:spacing w:val="-7"/>
          <w:sz w:val="20"/>
        </w:rPr>
        <w:t> </w:t>
      </w:r>
      <w:r>
        <w:rPr>
          <w:sz w:val="20"/>
        </w:rPr>
        <w:t>recorded for December 2023.</w:t>
      </w:r>
    </w:p>
    <w:p>
      <w:pPr>
        <w:pStyle w:val="BodyText"/>
      </w:pPr>
    </w:p>
    <w:p>
      <w:pPr>
        <w:pStyle w:val="BodyText"/>
      </w:pPr>
    </w:p>
    <w:p>
      <w:pPr>
        <w:pStyle w:val="BodyText"/>
      </w:pPr>
    </w:p>
    <w:p>
      <w:pPr>
        <w:pStyle w:val="BodyText"/>
      </w:pPr>
    </w:p>
    <w:p>
      <w:pPr>
        <w:pStyle w:val="BodyText"/>
        <w:spacing w:before="95"/>
      </w:pPr>
    </w:p>
    <w:p>
      <w:pPr>
        <w:pStyle w:val="BodyText"/>
        <w:ind w:left="115"/>
      </w:pPr>
      <w:r>
        <w:rPr>
          <w:color w:val="252A82"/>
          <w:spacing w:val="-2"/>
        </w:rPr>
        <w:t>Timor-</w:t>
      </w:r>
      <w:r>
        <w:rPr>
          <w:color w:val="252A82"/>
          <w:spacing w:val="-4"/>
        </w:rPr>
        <w:t>Leste</w:t>
      </w:r>
    </w:p>
    <w:p>
      <w:pPr>
        <w:pStyle w:val="BodyText"/>
        <w:spacing w:line="259" w:lineRule="auto" w:before="200"/>
        <w:ind w:left="115" w:right="5794"/>
      </w:pPr>
      <w:r>
        <w:rPr/>
        <w:drawing>
          <wp:anchor distT="0" distB="0" distL="0" distR="0" allowOverlap="1" layoutInCell="1" locked="0" behindDoc="0" simplePos="0" relativeHeight="15736832">
            <wp:simplePos x="0" y="0"/>
            <wp:positionH relativeFrom="page">
              <wp:posOffset>3661409</wp:posOffset>
            </wp:positionH>
            <wp:positionV relativeFrom="paragraph">
              <wp:posOffset>77943</wp:posOffset>
            </wp:positionV>
            <wp:extent cx="3422903" cy="237553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3422903" cy="2375535"/>
                    </a:xfrm>
                    <a:prstGeom prst="rect">
                      <a:avLst/>
                    </a:prstGeom>
                  </pic:spPr>
                </pic:pic>
              </a:graphicData>
            </a:graphic>
          </wp:anchor>
        </w:drawing>
      </w:r>
      <w:r>
        <w:rPr/>
        <w:t>Between</w:t>
      </w:r>
      <w:r>
        <w:rPr>
          <w:spacing w:val="-7"/>
        </w:rPr>
        <w:t> </w:t>
      </w:r>
      <w:r>
        <w:rPr/>
        <w:t>April</w:t>
      </w:r>
      <w:r>
        <w:rPr>
          <w:spacing w:val="-5"/>
        </w:rPr>
        <w:t> </w:t>
      </w:r>
      <w:r>
        <w:rPr/>
        <w:t>2022</w:t>
      </w:r>
      <w:r>
        <w:rPr>
          <w:spacing w:val="-5"/>
        </w:rPr>
        <w:t> </w:t>
      </w:r>
      <w:r>
        <w:rPr/>
        <w:t>and</w:t>
      </w:r>
      <w:r>
        <w:rPr>
          <w:spacing w:val="-6"/>
        </w:rPr>
        <w:t> </w:t>
      </w:r>
      <w:r>
        <w:rPr/>
        <w:t>June</w:t>
      </w:r>
      <w:r>
        <w:rPr>
          <w:spacing w:val="-6"/>
        </w:rPr>
        <w:t> </w:t>
      </w:r>
      <w:r>
        <w:rPr/>
        <w:t>2024,</w:t>
      </w:r>
      <w:r>
        <w:rPr>
          <w:spacing w:val="-1"/>
        </w:rPr>
        <w:t> </w:t>
      </w:r>
      <w:r>
        <w:rPr/>
        <w:t>the</w:t>
      </w:r>
      <w:r>
        <w:rPr>
          <w:spacing w:val="-7"/>
        </w:rPr>
        <w:t> </w:t>
      </w:r>
      <w:r>
        <w:rPr/>
        <w:t>number of workers from Timor-Leste has more than doubled, rising to 4,750 in June 2024. Growth remains positive, despite some fluctuations in December 2023 and again in April 2024.</w:t>
      </w:r>
    </w:p>
    <w:p>
      <w:pPr>
        <w:pStyle w:val="ListParagraph"/>
        <w:numPr>
          <w:ilvl w:val="0"/>
          <w:numId w:val="2"/>
        </w:numPr>
        <w:tabs>
          <w:tab w:pos="835" w:val="left" w:leader="none"/>
        </w:tabs>
        <w:spacing w:line="256" w:lineRule="auto" w:before="120" w:after="0"/>
        <w:ind w:left="835" w:right="6128" w:hanging="360"/>
        <w:jc w:val="left"/>
        <w:rPr>
          <w:sz w:val="20"/>
        </w:rPr>
      </w:pPr>
      <w:r>
        <w:rPr>
          <w:sz w:val="20"/>
        </w:rPr>
        <w:t>Revised counts for Timor-Leste are generally lower than previously reported,</w:t>
      </w:r>
      <w:r>
        <w:rPr>
          <w:spacing w:val="-9"/>
          <w:sz w:val="20"/>
        </w:rPr>
        <w:t> </w:t>
      </w:r>
      <w:r>
        <w:rPr>
          <w:sz w:val="20"/>
        </w:rPr>
        <w:t>with</w:t>
      </w:r>
      <w:r>
        <w:rPr>
          <w:spacing w:val="-10"/>
          <w:sz w:val="20"/>
        </w:rPr>
        <w:t> </w:t>
      </w:r>
      <w:r>
        <w:rPr>
          <w:sz w:val="20"/>
        </w:rPr>
        <w:t>varied</w:t>
      </w:r>
      <w:r>
        <w:rPr>
          <w:spacing w:val="-8"/>
          <w:sz w:val="20"/>
        </w:rPr>
        <w:t> </w:t>
      </w:r>
      <w:r>
        <w:rPr>
          <w:sz w:val="20"/>
        </w:rPr>
        <w:t>differences</w:t>
      </w:r>
      <w:r>
        <w:rPr>
          <w:spacing w:val="-9"/>
          <w:sz w:val="20"/>
        </w:rPr>
        <w:t> </w:t>
      </w:r>
      <w:r>
        <w:rPr>
          <w:sz w:val="20"/>
        </w:rPr>
        <w:t>of</w:t>
      </w:r>
    </w:p>
    <w:p>
      <w:pPr>
        <w:pStyle w:val="BodyText"/>
        <w:spacing w:before="5"/>
        <w:ind w:left="835"/>
      </w:pPr>
      <w:r>
        <w:rPr/>
        <w:t>-23%</w:t>
      </w:r>
      <w:r>
        <w:rPr>
          <w:spacing w:val="-4"/>
        </w:rPr>
        <w:t> </w:t>
      </w:r>
      <w:r>
        <w:rPr/>
        <w:t>in</w:t>
      </w:r>
      <w:r>
        <w:rPr>
          <w:spacing w:val="-4"/>
        </w:rPr>
        <w:t> </w:t>
      </w:r>
      <w:r>
        <w:rPr/>
        <w:t>June</w:t>
      </w:r>
      <w:r>
        <w:rPr>
          <w:spacing w:val="-4"/>
        </w:rPr>
        <w:t> </w:t>
      </w:r>
      <w:r>
        <w:rPr/>
        <w:t>2023,</w:t>
      </w:r>
      <w:r>
        <w:rPr>
          <w:spacing w:val="-2"/>
        </w:rPr>
        <w:t> </w:t>
      </w:r>
      <w:r>
        <w:rPr/>
        <w:t>to</w:t>
      </w:r>
      <w:r>
        <w:rPr>
          <w:spacing w:val="-2"/>
        </w:rPr>
        <w:t> </w:t>
      </w:r>
      <w:r>
        <w:rPr/>
        <w:t>-2%</w:t>
      </w:r>
      <w:r>
        <w:rPr>
          <w:spacing w:val="-6"/>
        </w:rPr>
        <w:t> </w:t>
      </w:r>
      <w:r>
        <w:rPr/>
        <w:t>in</w:t>
      </w:r>
      <w:r>
        <w:rPr>
          <w:spacing w:val="-5"/>
        </w:rPr>
        <w:t> </w:t>
      </w:r>
      <w:r>
        <w:rPr>
          <w:spacing w:val="-2"/>
        </w:rPr>
        <w:t>February</w:t>
      </w:r>
    </w:p>
    <w:p>
      <w:pPr>
        <w:pStyle w:val="BodyText"/>
        <w:spacing w:before="17"/>
        <w:ind w:left="835"/>
      </w:pPr>
      <w:r>
        <w:rPr>
          <w:spacing w:val="-2"/>
        </w:rPr>
        <w:t>2024.</w:t>
      </w: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BodyText"/>
        <w:ind w:left="115"/>
      </w:pPr>
      <w:r>
        <w:rPr/>
        <w:drawing>
          <wp:anchor distT="0" distB="0" distL="0" distR="0" allowOverlap="1" layoutInCell="1" locked="0" behindDoc="0" simplePos="0" relativeHeight="15737344">
            <wp:simplePos x="0" y="0"/>
            <wp:positionH relativeFrom="page">
              <wp:posOffset>3659504</wp:posOffset>
            </wp:positionH>
            <wp:positionV relativeFrom="paragraph">
              <wp:posOffset>166153</wp:posOffset>
            </wp:positionV>
            <wp:extent cx="3423285" cy="237553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3423285" cy="2375535"/>
                    </a:xfrm>
                    <a:prstGeom prst="rect">
                      <a:avLst/>
                    </a:prstGeom>
                  </pic:spPr>
                </pic:pic>
              </a:graphicData>
            </a:graphic>
          </wp:anchor>
        </w:drawing>
      </w:r>
      <w:r>
        <w:rPr>
          <w:color w:val="252A82"/>
          <w:spacing w:val="-2"/>
        </w:rPr>
        <w:t>Tonga</w:t>
      </w:r>
    </w:p>
    <w:p>
      <w:pPr>
        <w:pStyle w:val="BodyText"/>
        <w:spacing w:line="259" w:lineRule="auto" w:before="200"/>
        <w:ind w:left="115" w:right="5822"/>
      </w:pPr>
      <w:r>
        <w:rPr/>
        <w:t>Between April 2022 and December 2023, the number of workers from Tonga was generally decreasing</w:t>
      </w:r>
      <w:r>
        <w:rPr>
          <w:spacing w:val="-4"/>
        </w:rPr>
        <w:t> </w:t>
      </w:r>
      <w:r>
        <w:rPr/>
        <w:t>(apart</w:t>
      </w:r>
      <w:r>
        <w:rPr>
          <w:spacing w:val="-5"/>
        </w:rPr>
        <w:t> </w:t>
      </w:r>
      <w:r>
        <w:rPr/>
        <w:t>from</w:t>
      </w:r>
      <w:r>
        <w:rPr>
          <w:spacing w:val="-5"/>
        </w:rPr>
        <w:t> </w:t>
      </w:r>
      <w:r>
        <w:rPr/>
        <w:t>a</w:t>
      </w:r>
      <w:r>
        <w:rPr>
          <w:spacing w:val="-2"/>
        </w:rPr>
        <w:t> </w:t>
      </w:r>
      <w:r>
        <w:rPr/>
        <w:t>rise</w:t>
      </w:r>
      <w:r>
        <w:rPr>
          <w:spacing w:val="-5"/>
        </w:rPr>
        <w:t> </w:t>
      </w:r>
      <w:r>
        <w:rPr/>
        <w:t>in</w:t>
      </w:r>
      <w:r>
        <w:rPr>
          <w:spacing w:val="-5"/>
        </w:rPr>
        <w:t> </w:t>
      </w:r>
      <w:r>
        <w:rPr/>
        <w:t>the</w:t>
      </w:r>
      <w:r>
        <w:rPr>
          <w:spacing w:val="-5"/>
        </w:rPr>
        <w:t> </w:t>
      </w:r>
      <w:r>
        <w:rPr/>
        <w:t>first</w:t>
      </w:r>
      <w:r>
        <w:rPr>
          <w:spacing w:val="-5"/>
        </w:rPr>
        <w:t> </w:t>
      </w:r>
      <w:r>
        <w:rPr/>
        <w:t>half</w:t>
      </w:r>
      <w:r>
        <w:rPr>
          <w:spacing w:val="-4"/>
        </w:rPr>
        <w:t> </w:t>
      </w:r>
      <w:r>
        <w:rPr/>
        <w:t>of 2023). Again, the decrease is primarily observed in the short-term stream, which accounted for about two-thirds of Tongan workers in June 2024. In 2024 however, the number of Tongan PALM scheme workers has been generally steady.</w:t>
      </w:r>
    </w:p>
    <w:p>
      <w:pPr>
        <w:pStyle w:val="ListParagraph"/>
        <w:numPr>
          <w:ilvl w:val="0"/>
          <w:numId w:val="2"/>
        </w:numPr>
        <w:tabs>
          <w:tab w:pos="835" w:val="left" w:leader="none"/>
        </w:tabs>
        <w:spacing w:line="259" w:lineRule="auto" w:before="120" w:after="0"/>
        <w:ind w:left="835" w:right="5858" w:hanging="360"/>
        <w:jc w:val="left"/>
        <w:rPr>
          <w:sz w:val="20"/>
        </w:rPr>
      </w:pPr>
      <w:r>
        <w:rPr>
          <w:sz w:val="20"/>
        </w:rPr>
        <w:t>The revised counts of PALM worker numbers from Tonga are on average lower</w:t>
      </w:r>
      <w:r>
        <w:rPr>
          <w:spacing w:val="-8"/>
          <w:sz w:val="20"/>
        </w:rPr>
        <w:t> </w:t>
      </w:r>
      <w:r>
        <w:rPr>
          <w:sz w:val="20"/>
        </w:rPr>
        <w:t>than</w:t>
      </w:r>
      <w:r>
        <w:rPr>
          <w:spacing w:val="-6"/>
          <w:sz w:val="20"/>
        </w:rPr>
        <w:t> </w:t>
      </w:r>
      <w:r>
        <w:rPr>
          <w:sz w:val="20"/>
        </w:rPr>
        <w:t>previously</w:t>
      </w:r>
      <w:r>
        <w:rPr>
          <w:spacing w:val="-8"/>
          <w:sz w:val="20"/>
        </w:rPr>
        <w:t> </w:t>
      </w:r>
      <w:r>
        <w:rPr>
          <w:sz w:val="20"/>
        </w:rPr>
        <w:t>reported,</w:t>
      </w:r>
      <w:r>
        <w:rPr>
          <w:spacing w:val="-7"/>
          <w:sz w:val="20"/>
        </w:rPr>
        <w:t> </w:t>
      </w:r>
      <w:r>
        <w:rPr>
          <w:sz w:val="20"/>
        </w:rPr>
        <w:t>by</w:t>
      </w:r>
      <w:r>
        <w:rPr>
          <w:spacing w:val="-6"/>
          <w:sz w:val="20"/>
        </w:rPr>
        <w:t> </w:t>
      </w:r>
      <w:r>
        <w:rPr>
          <w:sz w:val="20"/>
        </w:rPr>
        <w:t>25% for 2023/24.</w:t>
      </w:r>
    </w:p>
    <w:p>
      <w:pPr>
        <w:pStyle w:val="BodyText"/>
      </w:pPr>
    </w:p>
    <w:p>
      <w:pPr>
        <w:pStyle w:val="BodyText"/>
      </w:pPr>
    </w:p>
    <w:p>
      <w:pPr>
        <w:pStyle w:val="BodyText"/>
      </w:pPr>
    </w:p>
    <w:p>
      <w:pPr>
        <w:pStyle w:val="BodyText"/>
      </w:pPr>
    </w:p>
    <w:p>
      <w:pPr>
        <w:pStyle w:val="BodyText"/>
      </w:pPr>
    </w:p>
    <w:p>
      <w:pPr>
        <w:pStyle w:val="BodyText"/>
        <w:spacing w:before="33"/>
      </w:pPr>
    </w:p>
    <w:p>
      <w:pPr>
        <w:spacing w:line="185" w:lineRule="exact" w:before="0"/>
        <w:ind w:left="9556" w:right="0" w:firstLine="0"/>
        <w:jc w:val="left"/>
        <w:rPr>
          <w:sz w:val="16"/>
        </w:rPr>
      </w:pPr>
      <w:r>
        <w:rPr>
          <w:color w:val="242A82"/>
          <w:spacing w:val="-10"/>
          <w:sz w:val="16"/>
        </w:rPr>
        <w:t>8</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BodyText"/>
        <w:spacing w:before="128"/>
        <w:ind w:left="115"/>
      </w:pPr>
      <w:r>
        <w:rPr/>
        <w:drawing>
          <wp:anchor distT="0" distB="0" distL="0" distR="0" allowOverlap="1" layoutInCell="1" locked="0" behindDoc="1" simplePos="0" relativeHeight="487233024">
            <wp:simplePos x="0" y="0"/>
            <wp:positionH relativeFrom="page">
              <wp:posOffset>0</wp:posOffset>
            </wp:positionH>
            <wp:positionV relativeFrom="page">
              <wp:posOffset>60</wp:posOffset>
            </wp:positionV>
            <wp:extent cx="7560564" cy="10657459"/>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7560564" cy="10657459"/>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3590925</wp:posOffset>
            </wp:positionH>
            <wp:positionV relativeFrom="paragraph">
              <wp:posOffset>269113</wp:posOffset>
            </wp:positionV>
            <wp:extent cx="3422904" cy="237553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3422904" cy="2375534"/>
                    </a:xfrm>
                    <a:prstGeom prst="rect">
                      <a:avLst/>
                    </a:prstGeom>
                  </pic:spPr>
                </pic:pic>
              </a:graphicData>
            </a:graphic>
          </wp:anchor>
        </w:drawing>
      </w:r>
      <w:r>
        <w:rPr>
          <w:color w:val="252A82"/>
          <w:spacing w:val="-2"/>
        </w:rPr>
        <w:t>Tuvalu</w:t>
      </w:r>
    </w:p>
    <w:p>
      <w:pPr>
        <w:pStyle w:val="BodyText"/>
        <w:spacing w:before="202"/>
        <w:ind w:left="115" w:right="5794"/>
      </w:pPr>
      <w:r>
        <w:rPr/>
        <w:t>Tuvalu is a small contributor to the PALM scheme workforce, with around 260 workers participating in the scheme in June 2024. The number</w:t>
      </w:r>
      <w:r>
        <w:rPr>
          <w:spacing w:val="-6"/>
        </w:rPr>
        <w:t> </w:t>
      </w:r>
      <w:r>
        <w:rPr/>
        <w:t>of</w:t>
      </w:r>
      <w:r>
        <w:rPr>
          <w:spacing w:val="-6"/>
        </w:rPr>
        <w:t> </w:t>
      </w:r>
      <w:r>
        <w:rPr/>
        <w:t>Tuvaluan</w:t>
      </w:r>
      <w:r>
        <w:rPr>
          <w:spacing w:val="-7"/>
        </w:rPr>
        <w:t> </w:t>
      </w:r>
      <w:r>
        <w:rPr/>
        <w:t>workers</w:t>
      </w:r>
      <w:r>
        <w:rPr>
          <w:spacing w:val="-6"/>
        </w:rPr>
        <w:t> </w:t>
      </w:r>
      <w:r>
        <w:rPr/>
        <w:t>has</w:t>
      </w:r>
      <w:r>
        <w:rPr>
          <w:spacing w:val="-6"/>
        </w:rPr>
        <w:t> </w:t>
      </w:r>
      <w:r>
        <w:rPr/>
        <w:t>been</w:t>
      </w:r>
      <w:r>
        <w:rPr>
          <w:spacing w:val="-7"/>
        </w:rPr>
        <w:t> </w:t>
      </w:r>
      <w:r>
        <w:rPr/>
        <w:t>steadily growing since April 2024, with particularly strong growth since mid-2023.</w:t>
      </w:r>
    </w:p>
    <w:p>
      <w:pPr>
        <w:pStyle w:val="ListParagraph"/>
        <w:numPr>
          <w:ilvl w:val="0"/>
          <w:numId w:val="2"/>
        </w:numPr>
        <w:tabs>
          <w:tab w:pos="835" w:val="left" w:leader="none"/>
        </w:tabs>
        <w:spacing w:line="259" w:lineRule="auto" w:before="119" w:after="0"/>
        <w:ind w:left="835" w:right="5969" w:hanging="360"/>
        <w:jc w:val="left"/>
        <w:rPr>
          <w:sz w:val="20"/>
        </w:rPr>
      </w:pPr>
      <w:r>
        <w:rPr>
          <w:sz w:val="20"/>
        </w:rPr>
        <w:t>There is some variation between the counts under the previous and new methodologies,</w:t>
      </w:r>
      <w:r>
        <w:rPr>
          <w:spacing w:val="-9"/>
          <w:sz w:val="20"/>
        </w:rPr>
        <w:t> </w:t>
      </w:r>
      <w:r>
        <w:rPr>
          <w:sz w:val="20"/>
        </w:rPr>
        <w:t>with</w:t>
      </w:r>
      <w:r>
        <w:rPr>
          <w:spacing w:val="-10"/>
          <w:sz w:val="20"/>
        </w:rPr>
        <w:t> </w:t>
      </w:r>
      <w:r>
        <w:rPr>
          <w:sz w:val="20"/>
        </w:rPr>
        <w:t>the</w:t>
      </w:r>
      <w:r>
        <w:rPr>
          <w:spacing w:val="-10"/>
          <w:sz w:val="20"/>
        </w:rPr>
        <w:t> </w:t>
      </w:r>
      <w:r>
        <w:rPr>
          <w:sz w:val="20"/>
        </w:rPr>
        <w:t>gap</w:t>
      </w:r>
      <w:r>
        <w:rPr>
          <w:spacing w:val="-10"/>
          <w:sz w:val="20"/>
        </w:rPr>
        <w:t> </w:t>
      </w:r>
      <w:r>
        <w:rPr>
          <w:sz w:val="20"/>
        </w:rPr>
        <w:t>between the two series widening in late 2023.</w:t>
      </w:r>
    </w:p>
    <w:p>
      <w:pPr>
        <w:pStyle w:val="BodyText"/>
      </w:pPr>
    </w:p>
    <w:p>
      <w:pPr>
        <w:pStyle w:val="BodyText"/>
      </w:pPr>
    </w:p>
    <w:p>
      <w:pPr>
        <w:pStyle w:val="BodyText"/>
      </w:pPr>
    </w:p>
    <w:p>
      <w:pPr>
        <w:pStyle w:val="BodyText"/>
      </w:pPr>
    </w:p>
    <w:p>
      <w:pPr>
        <w:pStyle w:val="BodyText"/>
      </w:pPr>
    </w:p>
    <w:p>
      <w:pPr>
        <w:pStyle w:val="BodyText"/>
        <w:spacing w:before="224"/>
      </w:pPr>
    </w:p>
    <w:p>
      <w:pPr>
        <w:pStyle w:val="BodyText"/>
        <w:ind w:left="115"/>
      </w:pPr>
      <w:r>
        <w:rPr>
          <w:color w:val="252A82"/>
          <w:spacing w:val="-2"/>
        </w:rPr>
        <w:t>Vanuatu</w:t>
      </w:r>
    </w:p>
    <w:p>
      <w:pPr>
        <w:pStyle w:val="BodyText"/>
        <w:spacing w:before="200"/>
        <w:ind w:left="115" w:right="5890"/>
      </w:pPr>
      <w:r>
        <w:rPr/>
        <w:drawing>
          <wp:anchor distT="0" distB="0" distL="0" distR="0" allowOverlap="1" layoutInCell="1" locked="0" behindDoc="0" simplePos="0" relativeHeight="15738880">
            <wp:simplePos x="0" y="0"/>
            <wp:positionH relativeFrom="page">
              <wp:posOffset>3559175</wp:posOffset>
            </wp:positionH>
            <wp:positionV relativeFrom="paragraph">
              <wp:posOffset>149291</wp:posOffset>
            </wp:positionV>
            <wp:extent cx="3422904" cy="2375535"/>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3422904" cy="2375535"/>
                    </a:xfrm>
                    <a:prstGeom prst="rect">
                      <a:avLst/>
                    </a:prstGeom>
                  </pic:spPr>
                </pic:pic>
              </a:graphicData>
            </a:graphic>
          </wp:anchor>
        </w:drawing>
      </w:r>
      <w:r>
        <w:rPr/>
        <w:t>Worker counts from Vanuatu have been consistently</w:t>
      </w:r>
      <w:r>
        <w:rPr>
          <w:spacing w:val="-9"/>
        </w:rPr>
        <w:t> </w:t>
      </w:r>
      <w:r>
        <w:rPr/>
        <w:t>declining</w:t>
      </w:r>
      <w:r>
        <w:rPr>
          <w:spacing w:val="-6"/>
        </w:rPr>
        <w:t> </w:t>
      </w:r>
      <w:r>
        <w:rPr/>
        <w:t>over</w:t>
      </w:r>
      <w:r>
        <w:rPr>
          <w:spacing w:val="-8"/>
        </w:rPr>
        <w:t> </w:t>
      </w:r>
      <w:r>
        <w:rPr/>
        <w:t>the</w:t>
      </w:r>
      <w:r>
        <w:rPr>
          <w:spacing w:val="-8"/>
        </w:rPr>
        <w:t> </w:t>
      </w:r>
      <w:r>
        <w:rPr/>
        <w:t>period,</w:t>
      </w:r>
      <w:r>
        <w:rPr>
          <w:spacing w:val="-8"/>
        </w:rPr>
        <w:t> </w:t>
      </w:r>
      <w:r>
        <w:rPr/>
        <w:t>falling by 26% between April 2022 and June 2024.</w:t>
      </w:r>
    </w:p>
    <w:p>
      <w:pPr>
        <w:pStyle w:val="BodyText"/>
        <w:spacing w:before="2"/>
        <w:ind w:left="115" w:right="6052"/>
      </w:pPr>
      <w:r>
        <w:rPr/>
        <w:t>All</w:t>
      </w:r>
      <w:r>
        <w:rPr>
          <w:spacing w:val="-4"/>
        </w:rPr>
        <w:t> </w:t>
      </w:r>
      <w:r>
        <w:rPr/>
        <w:t>of</w:t>
      </w:r>
      <w:r>
        <w:rPr>
          <w:spacing w:val="-4"/>
        </w:rPr>
        <w:t> </w:t>
      </w:r>
      <w:r>
        <w:rPr/>
        <w:t>this</w:t>
      </w:r>
      <w:r>
        <w:rPr>
          <w:spacing w:val="-4"/>
        </w:rPr>
        <w:t> </w:t>
      </w:r>
      <w:r>
        <w:rPr/>
        <w:t>decline</w:t>
      </w:r>
      <w:r>
        <w:rPr>
          <w:spacing w:val="-5"/>
        </w:rPr>
        <w:t> </w:t>
      </w:r>
      <w:r>
        <w:rPr/>
        <w:t>has</w:t>
      </w:r>
      <w:r>
        <w:rPr>
          <w:spacing w:val="-4"/>
        </w:rPr>
        <w:t> </w:t>
      </w:r>
      <w:r>
        <w:rPr/>
        <w:t>been</w:t>
      </w:r>
      <w:r>
        <w:rPr>
          <w:spacing w:val="-3"/>
        </w:rPr>
        <w:t> </w:t>
      </w:r>
      <w:r>
        <w:rPr/>
        <w:t>in</w:t>
      </w:r>
      <w:r>
        <w:rPr>
          <w:spacing w:val="-6"/>
        </w:rPr>
        <w:t> </w:t>
      </w:r>
      <w:r>
        <w:rPr/>
        <w:t>the</w:t>
      </w:r>
      <w:r>
        <w:rPr>
          <w:spacing w:val="-5"/>
        </w:rPr>
        <w:t> </w:t>
      </w:r>
      <w:r>
        <w:rPr/>
        <w:t>short-term stream, which makes up almost 80% of the Ni-Vanuatu PALM workforce. Conversely, worker counts in the long-term stream have been</w:t>
      </w:r>
      <w:r>
        <w:rPr>
          <w:spacing w:val="-3"/>
        </w:rPr>
        <w:t> </w:t>
      </w:r>
      <w:r>
        <w:rPr/>
        <w:t>generally</w:t>
      </w:r>
      <w:r>
        <w:rPr>
          <w:spacing w:val="-2"/>
        </w:rPr>
        <w:t> </w:t>
      </w:r>
      <w:r>
        <w:rPr/>
        <w:t>steady</w:t>
      </w:r>
      <w:r>
        <w:rPr>
          <w:spacing w:val="-2"/>
        </w:rPr>
        <w:t> </w:t>
      </w:r>
      <w:r>
        <w:rPr/>
        <w:t>over</w:t>
      </w:r>
      <w:r>
        <w:rPr>
          <w:spacing w:val="-1"/>
        </w:rPr>
        <w:t> </w:t>
      </w:r>
      <w:r>
        <w:rPr/>
        <w:t>the</w:t>
      </w:r>
      <w:r>
        <w:rPr>
          <w:spacing w:val="-3"/>
        </w:rPr>
        <w:t> </w:t>
      </w:r>
      <w:r>
        <w:rPr/>
        <w:t>same period.</w:t>
      </w:r>
    </w:p>
    <w:p>
      <w:pPr>
        <w:pStyle w:val="ListParagraph"/>
        <w:numPr>
          <w:ilvl w:val="0"/>
          <w:numId w:val="2"/>
        </w:numPr>
        <w:tabs>
          <w:tab w:pos="835" w:val="left" w:leader="none"/>
        </w:tabs>
        <w:spacing w:line="240" w:lineRule="auto" w:before="121" w:after="0"/>
        <w:ind w:left="835" w:right="6014" w:hanging="360"/>
        <w:jc w:val="left"/>
        <w:rPr>
          <w:sz w:val="20"/>
        </w:rPr>
      </w:pPr>
      <w:r>
        <w:rPr>
          <w:sz w:val="20"/>
        </w:rPr>
        <w:t>There is a considerable difference in worker counts between the old and new methods, with the counts for Vanuatu</w:t>
      </w:r>
      <w:r>
        <w:rPr>
          <w:spacing w:val="-11"/>
          <w:sz w:val="20"/>
        </w:rPr>
        <w:t> </w:t>
      </w:r>
      <w:r>
        <w:rPr>
          <w:sz w:val="20"/>
        </w:rPr>
        <w:t>previously</w:t>
      </w:r>
      <w:r>
        <w:rPr>
          <w:spacing w:val="-14"/>
          <w:sz w:val="20"/>
        </w:rPr>
        <w:t> </w:t>
      </w:r>
      <w:r>
        <w:rPr>
          <w:sz w:val="20"/>
        </w:rPr>
        <w:t>over-reported,</w:t>
      </w:r>
      <w:r>
        <w:rPr>
          <w:spacing w:val="-11"/>
          <w:sz w:val="20"/>
        </w:rPr>
        <w:t> </w:t>
      </w:r>
      <w:r>
        <w:rPr>
          <w:sz w:val="20"/>
        </w:rPr>
        <w:t>by 29% in February 2024.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1"/>
      </w:pPr>
    </w:p>
    <w:p>
      <w:pPr>
        <w:spacing w:line="185" w:lineRule="exact" w:before="0"/>
        <w:ind w:left="9556" w:right="0" w:firstLine="0"/>
        <w:jc w:val="left"/>
        <w:rPr>
          <w:sz w:val="16"/>
        </w:rPr>
      </w:pPr>
      <w:r>
        <w:rPr>
          <w:color w:val="242A82"/>
          <w:spacing w:val="-10"/>
          <w:sz w:val="16"/>
        </w:rPr>
        <w:t>9</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920" w:bottom="280" w:left="1133" w:right="566"/>
        </w:sectPr>
      </w:pPr>
    </w:p>
    <w:p>
      <w:pPr>
        <w:pStyle w:val="Heading2"/>
        <w:spacing w:before="89"/>
      </w:pPr>
      <w:r>
        <w:rPr/>
        <w:drawing>
          <wp:anchor distT="0" distB="0" distL="0" distR="0" allowOverlap="1" layoutInCell="1" locked="0" behindDoc="1" simplePos="0" relativeHeight="487234560">
            <wp:simplePos x="0" y="0"/>
            <wp:positionH relativeFrom="page">
              <wp:posOffset>0</wp:posOffset>
            </wp:positionH>
            <wp:positionV relativeFrom="page">
              <wp:posOffset>60</wp:posOffset>
            </wp:positionV>
            <wp:extent cx="7560564" cy="10657459"/>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7560564" cy="10657459"/>
                    </a:xfrm>
                    <a:prstGeom prst="rect">
                      <a:avLst/>
                    </a:prstGeom>
                  </pic:spPr>
                </pic:pic>
              </a:graphicData>
            </a:graphic>
          </wp:anchor>
        </w:drawing>
      </w:r>
      <w:r>
        <w:rPr>
          <w:color w:val="242A82"/>
        </w:rPr>
        <w:t>Worker</w:t>
      </w:r>
      <w:r>
        <w:rPr>
          <w:color w:val="242A82"/>
          <w:spacing w:val="-3"/>
        </w:rPr>
        <w:t> </w:t>
      </w:r>
      <w:r>
        <w:rPr>
          <w:color w:val="242A82"/>
        </w:rPr>
        <w:t>trends</w:t>
      </w:r>
      <w:r>
        <w:rPr>
          <w:color w:val="242A82"/>
          <w:spacing w:val="-4"/>
        </w:rPr>
        <w:t> </w:t>
      </w:r>
      <w:r>
        <w:rPr>
          <w:color w:val="242A82"/>
        </w:rPr>
        <w:t>by</w:t>
      </w:r>
      <w:r>
        <w:rPr>
          <w:color w:val="242A82"/>
          <w:spacing w:val="-3"/>
        </w:rPr>
        <w:t> </w:t>
      </w:r>
      <w:r>
        <w:rPr>
          <w:color w:val="242A82"/>
          <w:spacing w:val="-2"/>
        </w:rPr>
        <w:t>Industry</w:t>
      </w:r>
    </w:p>
    <w:p>
      <w:pPr>
        <w:pStyle w:val="BodyText"/>
        <w:spacing w:before="239"/>
        <w:ind w:left="115" w:right="765"/>
      </w:pPr>
      <w:r>
        <w:rPr/>
        <w:t>PALM scheme data is reported for five key industry groups: Agriculture, Meat processing, Accommodation,</w:t>
      </w:r>
      <w:r>
        <w:rPr>
          <w:spacing w:val="-3"/>
        </w:rPr>
        <w:t> </w:t>
      </w:r>
      <w:r>
        <w:rPr/>
        <w:t>Health</w:t>
      </w:r>
      <w:r>
        <w:rPr>
          <w:spacing w:val="-1"/>
        </w:rPr>
        <w:t> </w:t>
      </w:r>
      <w:r>
        <w:rPr/>
        <w:t>care</w:t>
      </w:r>
      <w:r>
        <w:rPr>
          <w:spacing w:val="-4"/>
        </w:rPr>
        <w:t> </w:t>
      </w:r>
      <w:r>
        <w:rPr/>
        <w:t>and</w:t>
      </w:r>
      <w:r>
        <w:rPr>
          <w:spacing w:val="-3"/>
        </w:rPr>
        <w:t> </w:t>
      </w:r>
      <w:r>
        <w:rPr/>
        <w:t>social</w:t>
      </w:r>
      <w:r>
        <w:rPr>
          <w:spacing w:val="-2"/>
        </w:rPr>
        <w:t> </w:t>
      </w:r>
      <w:r>
        <w:rPr/>
        <w:t>assistance,</w:t>
      </w:r>
      <w:r>
        <w:rPr>
          <w:spacing w:val="-3"/>
        </w:rPr>
        <w:t> </w:t>
      </w:r>
      <w:r>
        <w:rPr/>
        <w:t>and</w:t>
      </w:r>
      <w:r>
        <w:rPr>
          <w:spacing w:val="-4"/>
        </w:rPr>
        <w:t> </w:t>
      </w:r>
      <w:r>
        <w:rPr/>
        <w:t>Other</w:t>
      </w:r>
      <w:r>
        <w:rPr>
          <w:spacing w:val="-4"/>
        </w:rPr>
        <w:t> </w:t>
      </w:r>
      <w:r>
        <w:rPr/>
        <w:t>industries. Due</w:t>
      </w:r>
      <w:r>
        <w:rPr>
          <w:spacing w:val="-4"/>
        </w:rPr>
        <w:t> </w:t>
      </w:r>
      <w:r>
        <w:rPr/>
        <w:t>to</w:t>
      </w:r>
      <w:r>
        <w:rPr>
          <w:spacing w:val="-1"/>
        </w:rPr>
        <w:t> </w:t>
      </w:r>
      <w:r>
        <w:rPr/>
        <w:t>gaps</w:t>
      </w:r>
      <w:r>
        <w:rPr>
          <w:spacing w:val="-4"/>
        </w:rPr>
        <w:t> </w:t>
      </w:r>
      <w:r>
        <w:rPr/>
        <w:t>in</w:t>
      </w:r>
      <w:r>
        <w:rPr>
          <w:spacing w:val="-5"/>
        </w:rPr>
        <w:t> </w:t>
      </w:r>
      <w:r>
        <w:rPr/>
        <w:t>data</w:t>
      </w:r>
      <w:r>
        <w:rPr>
          <w:spacing w:val="-3"/>
        </w:rPr>
        <w:t> </w:t>
      </w:r>
      <w:r>
        <w:rPr/>
        <w:t>sources,</w:t>
      </w:r>
      <w:r>
        <w:rPr>
          <w:spacing w:val="-2"/>
        </w:rPr>
        <w:t> </w:t>
      </w:r>
      <w:r>
        <w:rPr/>
        <w:t>a best-fit approach has been used to identify industry. See the Glossary for more information.</w:t>
      </w:r>
    </w:p>
    <w:p>
      <w:pPr>
        <w:pStyle w:val="BodyText"/>
      </w:pPr>
    </w:p>
    <w:p>
      <w:pPr>
        <w:pStyle w:val="BodyText"/>
        <w:spacing w:before="87"/>
      </w:pPr>
    </w:p>
    <w:p>
      <w:pPr>
        <w:pStyle w:val="BodyText"/>
        <w:ind w:left="115"/>
      </w:pPr>
      <w:r>
        <w:rPr>
          <w:color w:val="252A82"/>
          <w:spacing w:val="-2"/>
        </w:rPr>
        <w:t>Agriculture</w:t>
      </w:r>
    </w:p>
    <w:p>
      <w:pPr>
        <w:pStyle w:val="BodyText"/>
        <w:spacing w:before="200"/>
        <w:ind w:left="115" w:right="5713"/>
      </w:pPr>
      <w:r>
        <w:rPr/>
        <w:drawing>
          <wp:anchor distT="0" distB="0" distL="0" distR="0" allowOverlap="1" layoutInCell="1" locked="0" behindDoc="0" simplePos="0" relativeHeight="15739904">
            <wp:simplePos x="0" y="0"/>
            <wp:positionH relativeFrom="page">
              <wp:posOffset>3692525</wp:posOffset>
            </wp:positionH>
            <wp:positionV relativeFrom="paragraph">
              <wp:posOffset>92196</wp:posOffset>
            </wp:positionV>
            <wp:extent cx="3427095" cy="237553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3" cstate="print"/>
                    <a:stretch>
                      <a:fillRect/>
                    </a:stretch>
                  </pic:blipFill>
                  <pic:spPr>
                    <a:xfrm>
                      <a:off x="0" y="0"/>
                      <a:ext cx="3427095" cy="2375534"/>
                    </a:xfrm>
                    <a:prstGeom prst="rect">
                      <a:avLst/>
                    </a:prstGeom>
                  </pic:spPr>
                </pic:pic>
              </a:graphicData>
            </a:graphic>
          </wp:anchor>
        </w:drawing>
      </w:r>
      <w:r>
        <w:rPr/>
        <w:t>Between April 2022 and June 2024, the total number of PALM workers in Agriculture has decreased</w:t>
      </w:r>
      <w:r>
        <w:rPr>
          <w:spacing w:val="-6"/>
        </w:rPr>
        <w:t> </w:t>
      </w:r>
      <w:r>
        <w:rPr/>
        <w:t>by</w:t>
      </w:r>
      <w:r>
        <w:rPr>
          <w:spacing w:val="-8"/>
        </w:rPr>
        <w:t> </w:t>
      </w:r>
      <w:r>
        <w:rPr/>
        <w:t>7%,</w:t>
      </w:r>
      <w:r>
        <w:rPr>
          <w:spacing w:val="-7"/>
        </w:rPr>
        <w:t> </w:t>
      </w:r>
      <w:r>
        <w:rPr/>
        <w:t>with</w:t>
      </w:r>
      <w:r>
        <w:rPr>
          <w:spacing w:val="-6"/>
        </w:rPr>
        <w:t> </w:t>
      </w:r>
      <w:r>
        <w:rPr/>
        <w:t>numbers</w:t>
      </w:r>
      <w:r>
        <w:rPr>
          <w:spacing w:val="-7"/>
        </w:rPr>
        <w:t> </w:t>
      </w:r>
      <w:r>
        <w:rPr/>
        <w:t>generally</w:t>
      </w:r>
      <w:r>
        <w:rPr>
          <w:spacing w:val="-8"/>
        </w:rPr>
        <w:t> </w:t>
      </w:r>
      <w:r>
        <w:rPr/>
        <w:t>steady between January and June 2024.</w:t>
      </w:r>
    </w:p>
    <w:p>
      <w:pPr>
        <w:pStyle w:val="ListParagraph"/>
        <w:numPr>
          <w:ilvl w:val="0"/>
          <w:numId w:val="2"/>
        </w:numPr>
        <w:tabs>
          <w:tab w:pos="835" w:val="left" w:leader="none"/>
        </w:tabs>
        <w:spacing w:line="240" w:lineRule="auto" w:before="123" w:after="0"/>
        <w:ind w:left="835" w:right="6134" w:hanging="360"/>
        <w:jc w:val="left"/>
        <w:rPr>
          <w:sz w:val="20"/>
        </w:rPr>
      </w:pPr>
      <w:r>
        <w:rPr>
          <w:sz w:val="20"/>
        </w:rPr>
        <w:t>The revised count of PALM worker numbers</w:t>
      </w:r>
      <w:r>
        <w:rPr>
          <w:spacing w:val="-8"/>
          <w:sz w:val="20"/>
        </w:rPr>
        <w:t> </w:t>
      </w:r>
      <w:r>
        <w:rPr>
          <w:sz w:val="20"/>
        </w:rPr>
        <w:t>in</w:t>
      </w:r>
      <w:r>
        <w:rPr>
          <w:spacing w:val="-10"/>
          <w:sz w:val="20"/>
        </w:rPr>
        <w:t> </w:t>
      </w:r>
      <w:r>
        <w:rPr>
          <w:sz w:val="20"/>
        </w:rPr>
        <w:t>Agriculture</w:t>
      </w:r>
      <w:r>
        <w:rPr>
          <w:spacing w:val="-9"/>
          <w:sz w:val="20"/>
        </w:rPr>
        <w:t> </w:t>
      </w:r>
      <w:r>
        <w:rPr>
          <w:sz w:val="20"/>
        </w:rPr>
        <w:t>businesses</w:t>
      </w:r>
      <w:r>
        <w:rPr>
          <w:spacing w:val="-7"/>
          <w:sz w:val="20"/>
        </w:rPr>
        <w:t> </w:t>
      </w:r>
      <w:r>
        <w:rPr>
          <w:sz w:val="20"/>
        </w:rPr>
        <w:t>is generally lower than previously reported, by 22% on average, for </w:t>
      </w:r>
      <w:r>
        <w:rPr>
          <w:spacing w:val="-2"/>
          <w:sz w:val="20"/>
        </w:rPr>
        <w:t>2023/24.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BodyText"/>
        <w:ind w:left="115"/>
      </w:pPr>
      <w:r>
        <w:rPr>
          <w:color w:val="121340"/>
        </w:rPr>
        <w:t>Agriculture</w:t>
      </w:r>
      <w:r>
        <w:rPr>
          <w:color w:val="121340"/>
          <w:spacing w:val="-12"/>
        </w:rPr>
        <w:t> </w:t>
      </w:r>
      <w:r>
        <w:rPr>
          <w:color w:val="121340"/>
        </w:rPr>
        <w:t>short-term</w:t>
      </w:r>
      <w:r>
        <w:rPr>
          <w:color w:val="121340"/>
          <w:spacing w:val="-12"/>
        </w:rPr>
        <w:t> </w:t>
      </w:r>
      <w:r>
        <w:rPr>
          <w:color w:val="121340"/>
          <w:spacing w:val="-2"/>
        </w:rPr>
        <w:t>stream</w:t>
      </w:r>
    </w:p>
    <w:p>
      <w:pPr>
        <w:pStyle w:val="BodyText"/>
        <w:spacing w:before="10"/>
      </w:pPr>
    </w:p>
    <w:p>
      <w:pPr>
        <w:pStyle w:val="BodyText"/>
        <w:spacing w:line="259" w:lineRule="auto" w:before="1"/>
        <w:ind w:left="115" w:right="5794"/>
      </w:pPr>
      <w:r>
        <w:rPr/>
        <w:drawing>
          <wp:anchor distT="0" distB="0" distL="0" distR="0" allowOverlap="1" layoutInCell="1" locked="0" behindDoc="0" simplePos="0" relativeHeight="15740416">
            <wp:simplePos x="0" y="0"/>
            <wp:positionH relativeFrom="page">
              <wp:posOffset>3692525</wp:posOffset>
            </wp:positionH>
            <wp:positionV relativeFrom="paragraph">
              <wp:posOffset>-62751</wp:posOffset>
            </wp:positionV>
            <wp:extent cx="3427095" cy="237553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4" cstate="print"/>
                    <a:stretch>
                      <a:fillRect/>
                    </a:stretch>
                  </pic:blipFill>
                  <pic:spPr>
                    <a:xfrm>
                      <a:off x="0" y="0"/>
                      <a:ext cx="3427095" cy="2375535"/>
                    </a:xfrm>
                    <a:prstGeom prst="rect">
                      <a:avLst/>
                    </a:prstGeom>
                  </pic:spPr>
                </pic:pic>
              </a:graphicData>
            </a:graphic>
          </wp:anchor>
        </w:drawing>
      </w:r>
      <w:r>
        <w:rPr/>
        <w:t>The trends for the short-term stream mirror those for total Agriculture, which is not surprising</w:t>
      </w:r>
      <w:r>
        <w:rPr>
          <w:spacing w:val="-6"/>
        </w:rPr>
        <w:t> </w:t>
      </w:r>
      <w:r>
        <w:rPr/>
        <w:t>as</w:t>
      </w:r>
      <w:r>
        <w:rPr>
          <w:spacing w:val="-5"/>
        </w:rPr>
        <w:t> </w:t>
      </w:r>
      <w:r>
        <w:rPr/>
        <w:t>most</w:t>
      </w:r>
      <w:r>
        <w:rPr>
          <w:spacing w:val="-7"/>
        </w:rPr>
        <w:t> </w:t>
      </w:r>
      <w:r>
        <w:rPr/>
        <w:t>of</w:t>
      </w:r>
      <w:r>
        <w:rPr>
          <w:spacing w:val="-6"/>
        </w:rPr>
        <w:t> </w:t>
      </w:r>
      <w:r>
        <w:rPr/>
        <w:t>Agriculture</w:t>
      </w:r>
      <w:r>
        <w:rPr>
          <w:spacing w:val="-5"/>
        </w:rPr>
        <w:t> </w:t>
      </w:r>
      <w:r>
        <w:rPr/>
        <w:t>(around</w:t>
      </w:r>
      <w:r>
        <w:rPr>
          <w:spacing w:val="-7"/>
        </w:rPr>
        <w:t> </w:t>
      </w:r>
      <w:r>
        <w:rPr/>
        <w:t>85%) consists of short-term stream workers.</w:t>
      </w:r>
    </w:p>
    <w:p>
      <w:pPr>
        <w:pStyle w:val="BodyText"/>
        <w:spacing w:line="259" w:lineRule="auto" w:before="118"/>
        <w:ind w:left="115" w:right="5713"/>
      </w:pPr>
      <w:r>
        <w:rPr/>
        <w:t>While</w:t>
      </w:r>
      <w:r>
        <w:rPr>
          <w:spacing w:val="-6"/>
        </w:rPr>
        <w:t> </w:t>
      </w:r>
      <w:r>
        <w:rPr/>
        <w:t>the</w:t>
      </w:r>
      <w:r>
        <w:rPr>
          <w:spacing w:val="-4"/>
        </w:rPr>
        <w:t> </w:t>
      </w:r>
      <w:r>
        <w:rPr/>
        <w:t>number</w:t>
      </w:r>
      <w:r>
        <w:rPr>
          <w:spacing w:val="-7"/>
        </w:rPr>
        <w:t> </w:t>
      </w:r>
      <w:r>
        <w:rPr/>
        <w:t>of</w:t>
      </w:r>
      <w:r>
        <w:rPr>
          <w:spacing w:val="-5"/>
        </w:rPr>
        <w:t> </w:t>
      </w:r>
      <w:r>
        <w:rPr/>
        <w:t>workers</w:t>
      </w:r>
      <w:r>
        <w:rPr>
          <w:spacing w:val="-5"/>
        </w:rPr>
        <w:t> </w:t>
      </w:r>
      <w:r>
        <w:rPr/>
        <w:t>for</w:t>
      </w:r>
      <w:r>
        <w:rPr>
          <w:spacing w:val="-6"/>
        </w:rPr>
        <w:t> </w:t>
      </w:r>
      <w:r>
        <w:rPr/>
        <w:t>this</w:t>
      </w:r>
      <w:r>
        <w:rPr>
          <w:spacing w:val="-5"/>
        </w:rPr>
        <w:t> </w:t>
      </w:r>
      <w:r>
        <w:rPr/>
        <w:t>cohort</w:t>
      </w:r>
      <w:r>
        <w:rPr>
          <w:spacing w:val="-2"/>
        </w:rPr>
        <w:t> </w:t>
      </w:r>
      <w:r>
        <w:rPr/>
        <w:t>was generally declining between April 2022 and December 2023, numbers appear to have stabilised somewhat in 2024.</w:t>
      </w:r>
    </w:p>
    <w:p>
      <w:pPr>
        <w:pStyle w:val="BodyText"/>
        <w:spacing w:line="259" w:lineRule="auto" w:before="120"/>
        <w:ind w:left="115" w:right="5794"/>
      </w:pPr>
      <w:r>
        <w:rPr/>
        <w:t>It should be noted there was a large influx of workers</w:t>
      </w:r>
      <w:r>
        <w:rPr>
          <w:spacing w:val="-8"/>
        </w:rPr>
        <w:t> </w:t>
      </w:r>
      <w:r>
        <w:rPr/>
        <w:t>during</w:t>
      </w:r>
      <w:r>
        <w:rPr>
          <w:spacing w:val="-8"/>
        </w:rPr>
        <w:t> </w:t>
      </w:r>
      <w:r>
        <w:rPr/>
        <w:t>the</w:t>
      </w:r>
      <w:r>
        <w:rPr>
          <w:spacing w:val="-8"/>
        </w:rPr>
        <w:t> </w:t>
      </w:r>
      <w:r>
        <w:rPr/>
        <w:t>COVID-19</w:t>
      </w:r>
      <w:r>
        <w:rPr>
          <w:spacing w:val="-8"/>
        </w:rPr>
        <w:t> </w:t>
      </w:r>
      <w:r>
        <w:rPr/>
        <w:t>pandemic,</w:t>
      </w:r>
      <w:r>
        <w:rPr>
          <w:spacing w:val="-7"/>
        </w:rPr>
        <w:t> </w:t>
      </w:r>
      <w:r>
        <w:rPr/>
        <w:t>under the temporary pandemic event 408 visa subclass. The vast majority of these workers were in short-term Agriculture.</w:t>
      </w:r>
    </w:p>
    <w:p>
      <w:pPr>
        <w:pStyle w:val="BodyText"/>
      </w:pPr>
    </w:p>
    <w:p>
      <w:pPr>
        <w:pStyle w:val="BodyText"/>
        <w:spacing w:before="23"/>
      </w:pPr>
    </w:p>
    <w:p>
      <w:pPr>
        <w:pStyle w:val="BodyText"/>
        <w:spacing w:line="259" w:lineRule="auto" w:before="1"/>
        <w:ind w:left="115" w:right="1190"/>
        <w:jc w:val="both"/>
      </w:pPr>
      <w:r>
        <w:rPr/>
        <w:t>The number of 408 pandemic event visa holders held steady for much of 2023 but began declining noticeably from</w:t>
      </w:r>
      <w:r>
        <w:rPr>
          <w:spacing w:val="-1"/>
        </w:rPr>
        <w:t> </w:t>
      </w:r>
      <w:r>
        <w:rPr/>
        <w:t>October 2023. Some</w:t>
      </w:r>
      <w:r>
        <w:rPr>
          <w:spacing w:val="-1"/>
        </w:rPr>
        <w:t> </w:t>
      </w:r>
      <w:r>
        <w:rPr/>
        <w:t>caution</w:t>
      </w:r>
      <w:r>
        <w:rPr>
          <w:spacing w:val="-2"/>
        </w:rPr>
        <w:t> </w:t>
      </w:r>
      <w:r>
        <w:rPr/>
        <w:t>needs to be applied interpreting trends</w:t>
      </w:r>
      <w:r>
        <w:rPr>
          <w:spacing w:val="-1"/>
        </w:rPr>
        <w:t> </w:t>
      </w:r>
      <w:r>
        <w:rPr/>
        <w:t>in</w:t>
      </w:r>
      <w:r>
        <w:rPr>
          <w:spacing w:val="-2"/>
        </w:rPr>
        <w:t> </w:t>
      </w:r>
      <w:r>
        <w:rPr/>
        <w:t>short-term Agriculture,</w:t>
      </w:r>
      <w:r>
        <w:rPr>
          <w:spacing w:val="-3"/>
        </w:rPr>
        <w:t> </w:t>
      </w:r>
      <w:r>
        <w:rPr/>
        <w:t>until</w:t>
      </w:r>
      <w:r>
        <w:rPr>
          <w:spacing w:val="-1"/>
        </w:rPr>
        <w:t> </w:t>
      </w:r>
      <w:r>
        <w:rPr/>
        <w:t>all</w:t>
      </w:r>
      <w:r>
        <w:rPr>
          <w:spacing w:val="-2"/>
        </w:rPr>
        <w:t> </w:t>
      </w:r>
      <w:r>
        <w:rPr/>
        <w:t>408</w:t>
      </w:r>
      <w:r>
        <w:rPr>
          <w:spacing w:val="-3"/>
        </w:rPr>
        <w:t> </w:t>
      </w:r>
      <w:r>
        <w:rPr/>
        <w:t>PALM</w:t>
      </w:r>
      <w:r>
        <w:rPr>
          <w:spacing w:val="-4"/>
        </w:rPr>
        <w:t> </w:t>
      </w:r>
      <w:r>
        <w:rPr/>
        <w:t>visa</w:t>
      </w:r>
      <w:r>
        <w:rPr>
          <w:spacing w:val="-3"/>
        </w:rPr>
        <w:t> </w:t>
      </w:r>
      <w:r>
        <w:rPr/>
        <w:t>holders have</w:t>
      </w:r>
      <w:r>
        <w:rPr>
          <w:spacing w:val="-2"/>
        </w:rPr>
        <w:t> </w:t>
      </w:r>
      <w:r>
        <w:rPr/>
        <w:t>exited</w:t>
      </w:r>
      <w:r>
        <w:rPr>
          <w:spacing w:val="-4"/>
        </w:rPr>
        <w:t> </w:t>
      </w:r>
      <w:r>
        <w:rPr/>
        <w:t>the</w:t>
      </w:r>
      <w:r>
        <w:rPr>
          <w:spacing w:val="-2"/>
        </w:rPr>
        <w:t> </w:t>
      </w:r>
      <w:r>
        <w:rPr/>
        <w:t>program,</w:t>
      </w:r>
      <w:r>
        <w:rPr>
          <w:spacing w:val="-1"/>
        </w:rPr>
        <w:t> </w:t>
      </w:r>
      <w:r>
        <w:rPr/>
        <w:t>expected</w:t>
      </w:r>
      <w:r>
        <w:rPr>
          <w:spacing w:val="-2"/>
        </w:rPr>
        <w:t> </w:t>
      </w:r>
      <w:r>
        <w:rPr/>
        <w:t>by</w:t>
      </w:r>
      <w:r>
        <w:rPr>
          <w:spacing w:val="-4"/>
        </w:rPr>
        <w:t> </w:t>
      </w:r>
      <w:r>
        <w:rPr/>
        <w:t>the</w:t>
      </w:r>
      <w:r>
        <w:rPr>
          <w:spacing w:val="-4"/>
        </w:rPr>
        <w:t> </w:t>
      </w:r>
      <w:r>
        <w:rPr/>
        <w:t>end</w:t>
      </w:r>
      <w:r>
        <w:rPr>
          <w:spacing w:val="-3"/>
        </w:rPr>
        <w:t> </w:t>
      </w:r>
      <w:r>
        <w:rPr/>
        <w:t>of</w:t>
      </w:r>
      <w:r>
        <w:rPr>
          <w:spacing w:val="-3"/>
        </w:rPr>
        <w:t> </w:t>
      </w:r>
      <w:r>
        <w:rPr/>
        <w:t>2024.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6"/>
        <w:rPr>
          <w:sz w:val="16"/>
        </w:rPr>
      </w:pPr>
    </w:p>
    <w:p>
      <w:pPr>
        <w:spacing w:line="185" w:lineRule="exact" w:before="0"/>
        <w:ind w:left="9472" w:right="0" w:firstLine="0"/>
        <w:jc w:val="left"/>
        <w:rPr>
          <w:sz w:val="16"/>
        </w:rPr>
      </w:pPr>
      <w:r>
        <w:rPr>
          <w:color w:val="242A82"/>
          <w:spacing w:val="-5"/>
          <w:sz w:val="16"/>
        </w:rPr>
        <w:t>10</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BodyText"/>
        <w:spacing w:before="86"/>
        <w:ind w:left="115"/>
      </w:pPr>
      <w:r>
        <w:rPr/>
        <w:drawing>
          <wp:anchor distT="0" distB="0" distL="0" distR="0" allowOverlap="1" layoutInCell="1" locked="0" behindDoc="1" simplePos="0" relativeHeight="487236096">
            <wp:simplePos x="0" y="0"/>
            <wp:positionH relativeFrom="page">
              <wp:posOffset>0</wp:posOffset>
            </wp:positionH>
            <wp:positionV relativeFrom="page">
              <wp:posOffset>60</wp:posOffset>
            </wp:positionV>
            <wp:extent cx="7560564" cy="10657459"/>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7560564" cy="10657459"/>
                    </a:xfrm>
                    <a:prstGeom prst="rect">
                      <a:avLst/>
                    </a:prstGeom>
                  </pic:spPr>
                </pic:pic>
              </a:graphicData>
            </a:graphic>
          </wp:anchor>
        </w:drawing>
      </w:r>
      <w:r>
        <w:rPr>
          <w:color w:val="121340"/>
        </w:rPr>
        <w:t>Agriculture</w:t>
      </w:r>
      <w:r>
        <w:rPr>
          <w:color w:val="121340"/>
          <w:spacing w:val="-11"/>
        </w:rPr>
        <w:t> </w:t>
      </w:r>
      <w:r>
        <w:rPr>
          <w:color w:val="121340"/>
        </w:rPr>
        <w:t>long-term</w:t>
      </w:r>
      <w:r>
        <w:rPr>
          <w:color w:val="121340"/>
          <w:spacing w:val="-8"/>
        </w:rPr>
        <w:t> </w:t>
      </w:r>
      <w:r>
        <w:rPr>
          <w:color w:val="121340"/>
          <w:spacing w:val="-2"/>
        </w:rPr>
        <w:t>stream</w:t>
      </w:r>
    </w:p>
    <w:p>
      <w:pPr>
        <w:pStyle w:val="BodyText"/>
        <w:spacing w:before="9"/>
      </w:pPr>
    </w:p>
    <w:p>
      <w:pPr>
        <w:pStyle w:val="BodyText"/>
        <w:spacing w:line="259" w:lineRule="auto"/>
        <w:ind w:left="115" w:right="6559"/>
        <w:jc w:val="both"/>
      </w:pPr>
      <w:r>
        <w:rPr/>
        <w:drawing>
          <wp:anchor distT="0" distB="0" distL="0" distR="0" allowOverlap="1" layoutInCell="1" locked="0" behindDoc="0" simplePos="0" relativeHeight="15741440">
            <wp:simplePos x="0" y="0"/>
            <wp:positionH relativeFrom="page">
              <wp:posOffset>3575050</wp:posOffset>
            </wp:positionH>
            <wp:positionV relativeFrom="paragraph">
              <wp:posOffset>3268</wp:posOffset>
            </wp:positionV>
            <wp:extent cx="3423284" cy="237553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5" cstate="print"/>
                    <a:stretch>
                      <a:fillRect/>
                    </a:stretch>
                  </pic:blipFill>
                  <pic:spPr>
                    <a:xfrm>
                      <a:off x="0" y="0"/>
                      <a:ext cx="3423284" cy="2375534"/>
                    </a:xfrm>
                    <a:prstGeom prst="rect">
                      <a:avLst/>
                    </a:prstGeom>
                  </pic:spPr>
                </pic:pic>
              </a:graphicData>
            </a:graphic>
          </wp:anchor>
        </w:drawing>
      </w:r>
      <w:r>
        <w:rPr/>
        <w:t>Between</w:t>
      </w:r>
      <w:r>
        <w:rPr>
          <w:spacing w:val="-6"/>
        </w:rPr>
        <w:t> </w:t>
      </w:r>
      <w:r>
        <w:rPr/>
        <w:t>April</w:t>
      </w:r>
      <w:r>
        <w:rPr>
          <w:spacing w:val="-4"/>
        </w:rPr>
        <w:t> </w:t>
      </w:r>
      <w:r>
        <w:rPr/>
        <w:t>2022</w:t>
      </w:r>
      <w:r>
        <w:rPr>
          <w:spacing w:val="-2"/>
        </w:rPr>
        <w:t> </w:t>
      </w:r>
      <w:r>
        <w:rPr/>
        <w:t>and</w:t>
      </w:r>
      <w:r>
        <w:rPr>
          <w:spacing w:val="-5"/>
        </w:rPr>
        <w:t> </w:t>
      </w:r>
      <w:r>
        <w:rPr/>
        <w:t>June</w:t>
      </w:r>
      <w:r>
        <w:rPr>
          <w:spacing w:val="-5"/>
        </w:rPr>
        <w:t> </w:t>
      </w:r>
      <w:r>
        <w:rPr/>
        <w:t>2024,</w:t>
      </w:r>
      <w:r>
        <w:rPr>
          <w:spacing w:val="-4"/>
        </w:rPr>
        <w:t> </w:t>
      </w:r>
      <w:r>
        <w:rPr/>
        <w:t>the number</w:t>
      </w:r>
      <w:r>
        <w:rPr>
          <w:spacing w:val="-8"/>
        </w:rPr>
        <w:t> </w:t>
      </w:r>
      <w:r>
        <w:rPr/>
        <w:t>of</w:t>
      </w:r>
      <w:r>
        <w:rPr>
          <w:spacing w:val="-7"/>
        </w:rPr>
        <w:t> </w:t>
      </w:r>
      <w:r>
        <w:rPr/>
        <w:t>long-term</w:t>
      </w:r>
      <w:r>
        <w:rPr>
          <w:spacing w:val="-8"/>
        </w:rPr>
        <w:t> </w:t>
      </w:r>
      <w:r>
        <w:rPr/>
        <w:t>stream</w:t>
      </w:r>
      <w:r>
        <w:rPr>
          <w:spacing w:val="-8"/>
        </w:rPr>
        <w:t> </w:t>
      </w:r>
      <w:r>
        <w:rPr/>
        <w:t>workers</w:t>
      </w:r>
      <w:r>
        <w:rPr>
          <w:spacing w:val="-7"/>
        </w:rPr>
        <w:t> </w:t>
      </w:r>
      <w:r>
        <w:rPr/>
        <w:t>in Agriculture rose by 70%.</w:t>
      </w:r>
    </w:p>
    <w:p>
      <w:pPr>
        <w:pStyle w:val="BodyText"/>
        <w:spacing w:line="256" w:lineRule="auto" w:before="121"/>
        <w:ind w:left="115" w:right="6085"/>
      </w:pPr>
      <w:r>
        <w:rPr/>
        <w:t>Over the last year, numbers generally declined</w:t>
      </w:r>
      <w:r>
        <w:rPr>
          <w:spacing w:val="-7"/>
        </w:rPr>
        <w:t> </w:t>
      </w:r>
      <w:r>
        <w:rPr/>
        <w:t>to</w:t>
      </w:r>
      <w:r>
        <w:rPr>
          <w:spacing w:val="-6"/>
        </w:rPr>
        <w:t> </w:t>
      </w:r>
      <w:r>
        <w:rPr/>
        <w:t>December</w:t>
      </w:r>
      <w:r>
        <w:rPr>
          <w:spacing w:val="-7"/>
        </w:rPr>
        <w:t> </w:t>
      </w:r>
      <w:r>
        <w:rPr/>
        <w:t>2023,</w:t>
      </w:r>
      <w:r>
        <w:rPr>
          <w:spacing w:val="-6"/>
        </w:rPr>
        <w:t> </w:t>
      </w:r>
      <w:r>
        <w:rPr/>
        <w:t>but</w:t>
      </w:r>
      <w:r>
        <w:rPr>
          <w:spacing w:val="-7"/>
        </w:rPr>
        <w:t> </w:t>
      </w:r>
      <w:r>
        <w:rPr/>
        <w:t>have</w:t>
      </w:r>
      <w:r>
        <w:rPr>
          <w:spacing w:val="-7"/>
        </w:rPr>
        <w:t> </w:t>
      </w:r>
      <w:r>
        <w:rPr/>
        <w:t>since </w:t>
      </w:r>
      <w:r>
        <w:rPr>
          <w:spacing w:val="-2"/>
        </w:rPr>
        <w:t>recovered.</w:t>
      </w:r>
    </w:p>
    <w:p>
      <w:pPr>
        <w:pStyle w:val="ListParagraph"/>
        <w:numPr>
          <w:ilvl w:val="0"/>
          <w:numId w:val="2"/>
        </w:numPr>
        <w:tabs>
          <w:tab w:pos="835" w:val="left" w:leader="none"/>
        </w:tabs>
        <w:spacing w:line="259" w:lineRule="auto" w:before="127" w:after="0"/>
        <w:ind w:left="835" w:right="5964" w:hanging="360"/>
        <w:jc w:val="left"/>
        <w:rPr>
          <w:sz w:val="20"/>
        </w:rPr>
      </w:pPr>
      <w:r>
        <w:rPr>
          <w:sz w:val="20"/>
        </w:rPr>
        <w:t>The revised count of PALM long-term stream</w:t>
      </w:r>
      <w:r>
        <w:rPr>
          <w:spacing w:val="-10"/>
          <w:sz w:val="20"/>
        </w:rPr>
        <w:t> </w:t>
      </w:r>
      <w:r>
        <w:rPr>
          <w:sz w:val="20"/>
        </w:rPr>
        <w:t>worker</w:t>
      </w:r>
      <w:r>
        <w:rPr>
          <w:spacing w:val="-10"/>
          <w:sz w:val="20"/>
        </w:rPr>
        <w:t> </w:t>
      </w:r>
      <w:r>
        <w:rPr>
          <w:sz w:val="20"/>
        </w:rPr>
        <w:t>numbers</w:t>
      </w:r>
      <w:r>
        <w:rPr>
          <w:spacing w:val="-9"/>
          <w:sz w:val="20"/>
        </w:rPr>
        <w:t> </w:t>
      </w:r>
      <w:r>
        <w:rPr>
          <w:sz w:val="20"/>
        </w:rPr>
        <w:t>in</w:t>
      </w:r>
      <w:r>
        <w:rPr>
          <w:spacing w:val="-7"/>
          <w:sz w:val="20"/>
        </w:rPr>
        <w:t> </w:t>
      </w:r>
      <w:r>
        <w:rPr>
          <w:sz w:val="20"/>
        </w:rPr>
        <w:t>Agriculture businesses were on average higher than previously reported, by 10% for </w:t>
      </w:r>
      <w:r>
        <w:rPr>
          <w:spacing w:val="-2"/>
          <w:sz w:val="20"/>
        </w:rPr>
        <w:t>2023/24.</w:t>
      </w:r>
    </w:p>
    <w:p>
      <w:pPr>
        <w:pStyle w:val="BodyText"/>
      </w:pPr>
    </w:p>
    <w:p>
      <w:pPr>
        <w:pStyle w:val="BodyText"/>
      </w:pPr>
    </w:p>
    <w:p>
      <w:pPr>
        <w:pStyle w:val="BodyText"/>
      </w:pPr>
    </w:p>
    <w:p>
      <w:pPr>
        <w:pStyle w:val="BodyText"/>
      </w:pPr>
    </w:p>
    <w:p>
      <w:pPr>
        <w:pStyle w:val="BodyText"/>
      </w:pPr>
    </w:p>
    <w:p>
      <w:pPr>
        <w:pStyle w:val="BodyText"/>
        <w:spacing w:before="110"/>
      </w:pPr>
    </w:p>
    <w:p>
      <w:pPr>
        <w:pStyle w:val="BodyText"/>
        <w:ind w:left="115"/>
      </w:pPr>
      <w:r>
        <w:rPr/>
        <w:drawing>
          <wp:anchor distT="0" distB="0" distL="0" distR="0" allowOverlap="1" layoutInCell="1" locked="0" behindDoc="0" simplePos="0" relativeHeight="15741952">
            <wp:simplePos x="0" y="0"/>
            <wp:positionH relativeFrom="page">
              <wp:posOffset>3571240</wp:posOffset>
            </wp:positionH>
            <wp:positionV relativeFrom="paragraph">
              <wp:posOffset>80135</wp:posOffset>
            </wp:positionV>
            <wp:extent cx="3427094" cy="237553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6" cstate="print"/>
                    <a:stretch>
                      <a:fillRect/>
                    </a:stretch>
                  </pic:blipFill>
                  <pic:spPr>
                    <a:xfrm>
                      <a:off x="0" y="0"/>
                      <a:ext cx="3427094" cy="2375535"/>
                    </a:xfrm>
                    <a:prstGeom prst="rect">
                      <a:avLst/>
                    </a:prstGeom>
                  </pic:spPr>
                </pic:pic>
              </a:graphicData>
            </a:graphic>
          </wp:anchor>
        </w:drawing>
      </w:r>
      <w:r>
        <w:rPr>
          <w:color w:val="252A82"/>
          <w:spacing w:val="-2"/>
        </w:rPr>
        <w:t>Accommodation</w:t>
      </w:r>
    </w:p>
    <w:p>
      <w:pPr>
        <w:pStyle w:val="BodyText"/>
        <w:spacing w:line="259" w:lineRule="auto" w:before="202"/>
        <w:ind w:left="115" w:right="5794"/>
      </w:pPr>
      <w:r>
        <w:rPr/>
        <w:t>The total number of workers in the Accommodation</w:t>
      </w:r>
      <w:r>
        <w:rPr>
          <w:spacing w:val="-8"/>
        </w:rPr>
        <w:t> </w:t>
      </w:r>
      <w:r>
        <w:rPr/>
        <w:t>sector</w:t>
      </w:r>
      <w:r>
        <w:rPr>
          <w:spacing w:val="-6"/>
        </w:rPr>
        <w:t> </w:t>
      </w:r>
      <w:r>
        <w:rPr/>
        <w:t>increased</w:t>
      </w:r>
      <w:r>
        <w:rPr>
          <w:spacing w:val="-8"/>
        </w:rPr>
        <w:t> </w:t>
      </w:r>
      <w:r>
        <w:rPr/>
        <w:t>by</w:t>
      </w:r>
      <w:r>
        <w:rPr>
          <w:spacing w:val="-6"/>
        </w:rPr>
        <w:t> </w:t>
      </w:r>
      <w:r>
        <w:rPr/>
        <w:t>54%</w:t>
      </w:r>
      <w:r>
        <w:rPr>
          <w:spacing w:val="-8"/>
        </w:rPr>
        <w:t> </w:t>
      </w:r>
      <w:r>
        <w:rPr/>
        <w:t>from April 2022 to June 2023. From June 2023, numbers declined</w:t>
      </w:r>
      <w:r>
        <w:rPr>
          <w:spacing w:val="-1"/>
        </w:rPr>
        <w:t> </w:t>
      </w:r>
      <w:r>
        <w:rPr/>
        <w:t>to the end of that year but have since picked up in 2024.</w:t>
      </w:r>
    </w:p>
    <w:p>
      <w:pPr>
        <w:pStyle w:val="ListParagraph"/>
        <w:numPr>
          <w:ilvl w:val="0"/>
          <w:numId w:val="2"/>
        </w:numPr>
        <w:tabs>
          <w:tab w:pos="835" w:val="left" w:leader="none"/>
        </w:tabs>
        <w:spacing w:line="259" w:lineRule="auto" w:before="120" w:after="0"/>
        <w:ind w:left="835" w:right="5902" w:hanging="360"/>
        <w:jc w:val="left"/>
        <w:rPr>
          <w:sz w:val="20"/>
        </w:rPr>
      </w:pPr>
      <w:r>
        <w:rPr>
          <w:sz w:val="20"/>
        </w:rPr>
        <w:t>The revised count of PALM worker numbers</w:t>
      </w:r>
      <w:r>
        <w:rPr>
          <w:spacing w:val="-12"/>
          <w:sz w:val="20"/>
        </w:rPr>
        <w:t> </w:t>
      </w:r>
      <w:r>
        <w:rPr>
          <w:sz w:val="20"/>
        </w:rPr>
        <w:t>in</w:t>
      </w:r>
      <w:r>
        <w:rPr>
          <w:spacing w:val="-14"/>
          <w:sz w:val="20"/>
        </w:rPr>
        <w:t> </w:t>
      </w:r>
      <w:r>
        <w:rPr>
          <w:sz w:val="20"/>
        </w:rPr>
        <w:t>Accommodation</w:t>
      </w:r>
      <w:r>
        <w:rPr>
          <w:spacing w:val="-14"/>
          <w:sz w:val="20"/>
        </w:rPr>
        <w:t> </w:t>
      </w:r>
      <w:r>
        <w:rPr>
          <w:sz w:val="20"/>
        </w:rPr>
        <w:t>businesses are on average lower than previously reported, by 16% for 2023/24.</w:t>
      </w:r>
    </w:p>
    <w:p>
      <w:pPr>
        <w:pStyle w:val="BodyText"/>
      </w:pPr>
    </w:p>
    <w:p>
      <w:pPr>
        <w:pStyle w:val="BodyText"/>
      </w:pPr>
    </w:p>
    <w:p>
      <w:pPr>
        <w:pStyle w:val="BodyText"/>
      </w:pPr>
    </w:p>
    <w:p>
      <w:pPr>
        <w:pStyle w:val="BodyText"/>
      </w:pPr>
    </w:p>
    <w:p>
      <w:pPr>
        <w:pStyle w:val="BodyText"/>
      </w:pPr>
    </w:p>
    <w:p>
      <w:pPr>
        <w:pStyle w:val="BodyText"/>
      </w:pPr>
    </w:p>
    <w:p>
      <w:pPr>
        <w:pStyle w:val="BodyText"/>
        <w:spacing w:before="54"/>
      </w:pPr>
    </w:p>
    <w:p>
      <w:pPr>
        <w:pStyle w:val="BodyText"/>
        <w:ind w:left="115"/>
      </w:pPr>
      <w:r>
        <w:rPr>
          <w:color w:val="121340"/>
        </w:rPr>
        <w:t>Accommodation</w:t>
      </w:r>
      <w:r>
        <w:rPr>
          <w:color w:val="121340"/>
          <w:spacing w:val="-11"/>
        </w:rPr>
        <w:t> </w:t>
      </w:r>
      <w:r>
        <w:rPr>
          <w:color w:val="121340"/>
        </w:rPr>
        <w:t>by</w:t>
      </w:r>
      <w:r>
        <w:rPr>
          <w:color w:val="121340"/>
          <w:spacing w:val="-9"/>
        </w:rPr>
        <w:t> </w:t>
      </w:r>
      <w:r>
        <w:rPr>
          <w:color w:val="121340"/>
          <w:spacing w:val="-2"/>
        </w:rPr>
        <w:t>stream</w:t>
      </w:r>
    </w:p>
    <w:p>
      <w:pPr>
        <w:pStyle w:val="BodyText"/>
        <w:spacing w:before="8"/>
      </w:pPr>
    </w:p>
    <w:p>
      <w:pPr>
        <w:pStyle w:val="BodyText"/>
        <w:spacing w:line="259" w:lineRule="auto"/>
        <w:ind w:left="115" w:right="5794"/>
      </w:pPr>
      <w:r>
        <w:rPr/>
        <w:drawing>
          <wp:anchor distT="0" distB="0" distL="0" distR="0" allowOverlap="1" layoutInCell="1" locked="0" behindDoc="0" simplePos="0" relativeHeight="15742464">
            <wp:simplePos x="0" y="0"/>
            <wp:positionH relativeFrom="page">
              <wp:posOffset>3574415</wp:posOffset>
            </wp:positionH>
            <wp:positionV relativeFrom="paragraph">
              <wp:posOffset>-36356</wp:posOffset>
            </wp:positionV>
            <wp:extent cx="3422904" cy="2375535"/>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7" cstate="print"/>
                    <a:stretch>
                      <a:fillRect/>
                    </a:stretch>
                  </pic:blipFill>
                  <pic:spPr>
                    <a:xfrm>
                      <a:off x="0" y="0"/>
                      <a:ext cx="3422904" cy="2375535"/>
                    </a:xfrm>
                    <a:prstGeom prst="rect">
                      <a:avLst/>
                    </a:prstGeom>
                  </pic:spPr>
                </pic:pic>
              </a:graphicData>
            </a:graphic>
          </wp:anchor>
        </w:drawing>
      </w:r>
      <w:r>
        <w:rPr/>
        <w:t>While the short and long-term streams for Accommodation</w:t>
      </w:r>
      <w:r>
        <w:rPr>
          <w:spacing w:val="-7"/>
        </w:rPr>
        <w:t> </w:t>
      </w:r>
      <w:r>
        <w:rPr/>
        <w:t>were</w:t>
      </w:r>
      <w:r>
        <w:rPr>
          <w:spacing w:val="-5"/>
        </w:rPr>
        <w:t> </w:t>
      </w:r>
      <w:r>
        <w:rPr/>
        <w:t>roughly</w:t>
      </w:r>
      <w:r>
        <w:rPr>
          <w:spacing w:val="-7"/>
        </w:rPr>
        <w:t> </w:t>
      </w:r>
      <w:r>
        <w:rPr/>
        <w:t>the</w:t>
      </w:r>
      <w:r>
        <w:rPr>
          <w:spacing w:val="-7"/>
        </w:rPr>
        <w:t> </w:t>
      </w:r>
      <w:r>
        <w:rPr/>
        <w:t>same</w:t>
      </w:r>
      <w:r>
        <w:rPr>
          <w:spacing w:val="-7"/>
        </w:rPr>
        <w:t> </w:t>
      </w:r>
      <w:r>
        <w:rPr/>
        <w:t>size</w:t>
      </w:r>
      <w:r>
        <w:rPr>
          <w:spacing w:val="-7"/>
        </w:rPr>
        <w:t> </w:t>
      </w:r>
      <w:r>
        <w:rPr/>
        <w:t>in April 2022:</w:t>
      </w:r>
    </w:p>
    <w:p>
      <w:pPr>
        <w:pStyle w:val="ListParagraph"/>
        <w:numPr>
          <w:ilvl w:val="0"/>
          <w:numId w:val="2"/>
        </w:numPr>
        <w:tabs>
          <w:tab w:pos="835" w:val="left" w:leader="none"/>
        </w:tabs>
        <w:spacing w:line="259" w:lineRule="auto" w:before="120" w:after="0"/>
        <w:ind w:left="835" w:right="6021" w:hanging="360"/>
        <w:jc w:val="left"/>
        <w:rPr>
          <w:sz w:val="20"/>
        </w:rPr>
      </w:pPr>
      <w:r>
        <w:rPr>
          <w:sz w:val="20"/>
        </w:rPr>
        <w:t>The number of short-term stream workers in Accommodation declined consistently</w:t>
      </w:r>
      <w:r>
        <w:rPr>
          <w:spacing w:val="-10"/>
          <w:sz w:val="20"/>
        </w:rPr>
        <w:t> </w:t>
      </w:r>
      <w:r>
        <w:rPr>
          <w:sz w:val="20"/>
        </w:rPr>
        <w:t>over</w:t>
      </w:r>
      <w:r>
        <w:rPr>
          <w:spacing w:val="-11"/>
          <w:sz w:val="20"/>
        </w:rPr>
        <w:t> </w:t>
      </w:r>
      <w:r>
        <w:rPr>
          <w:sz w:val="20"/>
        </w:rPr>
        <w:t>the</w:t>
      </w:r>
      <w:r>
        <w:rPr>
          <w:spacing w:val="-8"/>
          <w:sz w:val="20"/>
        </w:rPr>
        <w:t> </w:t>
      </w:r>
      <w:r>
        <w:rPr>
          <w:sz w:val="20"/>
        </w:rPr>
        <w:t>period</w:t>
      </w:r>
      <w:r>
        <w:rPr>
          <w:spacing w:val="-8"/>
          <w:sz w:val="20"/>
        </w:rPr>
        <w:t> </w:t>
      </w:r>
      <w:r>
        <w:rPr>
          <w:sz w:val="20"/>
        </w:rPr>
        <w:t>between April 2022 to February 2024, with a slight uptick since then.</w:t>
      </w:r>
    </w:p>
    <w:p>
      <w:pPr>
        <w:pStyle w:val="ListParagraph"/>
        <w:numPr>
          <w:ilvl w:val="0"/>
          <w:numId w:val="2"/>
        </w:numPr>
        <w:tabs>
          <w:tab w:pos="835" w:val="left" w:leader="none"/>
        </w:tabs>
        <w:spacing w:line="259" w:lineRule="auto" w:before="0" w:after="0"/>
        <w:ind w:left="835" w:right="5914" w:hanging="360"/>
        <w:jc w:val="left"/>
        <w:rPr>
          <w:sz w:val="20"/>
        </w:rPr>
      </w:pPr>
      <w:r>
        <w:rPr>
          <w:sz w:val="20"/>
        </w:rPr>
        <w:t>By contrast, the number of long-term stream</w:t>
      </w:r>
      <w:r>
        <w:rPr>
          <w:spacing w:val="-10"/>
          <w:sz w:val="20"/>
        </w:rPr>
        <w:t> </w:t>
      </w:r>
      <w:r>
        <w:rPr>
          <w:sz w:val="20"/>
        </w:rPr>
        <w:t>workers</w:t>
      </w:r>
      <w:r>
        <w:rPr>
          <w:spacing w:val="-9"/>
          <w:sz w:val="20"/>
        </w:rPr>
        <w:t> </w:t>
      </w:r>
      <w:r>
        <w:rPr>
          <w:sz w:val="20"/>
        </w:rPr>
        <w:t>in</w:t>
      </w:r>
      <w:r>
        <w:rPr>
          <w:spacing w:val="-10"/>
          <w:sz w:val="20"/>
        </w:rPr>
        <w:t> </w:t>
      </w:r>
      <w:r>
        <w:rPr>
          <w:sz w:val="20"/>
        </w:rPr>
        <w:t>Accommodation</w:t>
      </w:r>
      <w:r>
        <w:rPr>
          <w:spacing w:val="-7"/>
          <w:sz w:val="20"/>
        </w:rPr>
        <w:t> </w:t>
      </w:r>
      <w:r>
        <w:rPr>
          <w:sz w:val="20"/>
        </w:rPr>
        <w:t>has generally shown strong growth, apart from a reduced level between September 2023 and January 2024.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3"/>
        <w:rPr>
          <w:sz w:val="16"/>
        </w:rPr>
      </w:pPr>
    </w:p>
    <w:p>
      <w:pPr>
        <w:spacing w:line="185" w:lineRule="exact" w:before="0"/>
        <w:ind w:left="9472" w:right="0" w:firstLine="0"/>
        <w:jc w:val="left"/>
        <w:rPr>
          <w:sz w:val="16"/>
        </w:rPr>
      </w:pPr>
      <w:r>
        <w:rPr>
          <w:color w:val="242A82"/>
          <w:spacing w:val="-5"/>
          <w:sz w:val="16"/>
        </w:rPr>
        <w:t>11</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BodyText"/>
        <w:spacing w:before="86"/>
        <w:ind w:left="115"/>
      </w:pPr>
      <w:r>
        <w:rPr/>
        <w:drawing>
          <wp:anchor distT="0" distB="0" distL="0" distR="0" allowOverlap="1" layoutInCell="1" locked="0" behindDoc="1" simplePos="0" relativeHeight="487238144">
            <wp:simplePos x="0" y="0"/>
            <wp:positionH relativeFrom="page">
              <wp:posOffset>0</wp:posOffset>
            </wp:positionH>
            <wp:positionV relativeFrom="page">
              <wp:posOffset>60</wp:posOffset>
            </wp:positionV>
            <wp:extent cx="7560564" cy="1065745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7560564" cy="10657459"/>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3572509</wp:posOffset>
            </wp:positionH>
            <wp:positionV relativeFrom="paragraph">
              <wp:posOffset>172465</wp:posOffset>
            </wp:positionV>
            <wp:extent cx="3422903" cy="237553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8" cstate="print"/>
                    <a:stretch>
                      <a:fillRect/>
                    </a:stretch>
                  </pic:blipFill>
                  <pic:spPr>
                    <a:xfrm>
                      <a:off x="0" y="0"/>
                      <a:ext cx="3422903" cy="2375535"/>
                    </a:xfrm>
                    <a:prstGeom prst="rect">
                      <a:avLst/>
                    </a:prstGeom>
                  </pic:spPr>
                </pic:pic>
              </a:graphicData>
            </a:graphic>
          </wp:anchor>
        </w:drawing>
      </w:r>
      <w:r>
        <w:rPr>
          <w:color w:val="252A82"/>
        </w:rPr>
        <w:t>Health</w:t>
      </w:r>
      <w:r>
        <w:rPr>
          <w:color w:val="252A82"/>
          <w:spacing w:val="-6"/>
        </w:rPr>
        <w:t> </w:t>
      </w:r>
      <w:r>
        <w:rPr>
          <w:color w:val="252A82"/>
        </w:rPr>
        <w:t>care</w:t>
      </w:r>
      <w:r>
        <w:rPr>
          <w:color w:val="252A82"/>
          <w:spacing w:val="-6"/>
        </w:rPr>
        <w:t> </w:t>
      </w:r>
      <w:r>
        <w:rPr>
          <w:color w:val="252A82"/>
        </w:rPr>
        <w:t>and</w:t>
      </w:r>
      <w:r>
        <w:rPr>
          <w:color w:val="252A82"/>
          <w:spacing w:val="-6"/>
        </w:rPr>
        <w:t> </w:t>
      </w:r>
      <w:r>
        <w:rPr>
          <w:color w:val="252A82"/>
        </w:rPr>
        <w:t>social</w:t>
      </w:r>
      <w:r>
        <w:rPr>
          <w:color w:val="252A82"/>
          <w:spacing w:val="-5"/>
        </w:rPr>
        <w:t> </w:t>
      </w:r>
      <w:r>
        <w:rPr>
          <w:color w:val="252A82"/>
          <w:spacing w:val="-2"/>
        </w:rPr>
        <w:t>assistance</w:t>
      </w:r>
    </w:p>
    <w:p>
      <w:pPr>
        <w:pStyle w:val="BodyText"/>
        <w:spacing w:before="200"/>
        <w:ind w:left="115" w:right="6087"/>
      </w:pPr>
      <w:r>
        <w:rPr/>
        <w:t>All workers in the Health care and social assistance industry are participating in the long-term stream. Worker counts in this sector have increased strongly over the period,</w:t>
      </w:r>
      <w:r>
        <w:rPr>
          <w:spacing w:val="-5"/>
        </w:rPr>
        <w:t> </w:t>
      </w:r>
      <w:r>
        <w:rPr/>
        <w:t>rising</w:t>
      </w:r>
      <w:r>
        <w:rPr>
          <w:spacing w:val="-5"/>
        </w:rPr>
        <w:t> </w:t>
      </w:r>
      <w:r>
        <w:rPr/>
        <w:t>from</w:t>
      </w:r>
      <w:r>
        <w:rPr>
          <w:spacing w:val="-5"/>
        </w:rPr>
        <w:t> </w:t>
      </w:r>
      <w:r>
        <w:rPr/>
        <w:t>195</w:t>
      </w:r>
      <w:r>
        <w:rPr>
          <w:spacing w:val="-5"/>
        </w:rPr>
        <w:t> </w:t>
      </w:r>
      <w:r>
        <w:rPr/>
        <w:t>workers</w:t>
      </w:r>
      <w:r>
        <w:rPr>
          <w:spacing w:val="-5"/>
        </w:rPr>
        <w:t> </w:t>
      </w:r>
      <w:r>
        <w:rPr/>
        <w:t>in</w:t>
      </w:r>
      <w:r>
        <w:rPr>
          <w:spacing w:val="-7"/>
        </w:rPr>
        <w:t> </w:t>
      </w:r>
      <w:r>
        <w:rPr/>
        <w:t>April</w:t>
      </w:r>
      <w:r>
        <w:rPr>
          <w:spacing w:val="-5"/>
        </w:rPr>
        <w:t> </w:t>
      </w:r>
      <w:r>
        <w:rPr/>
        <w:t>2022 to 1,255 in June 2024.</w:t>
      </w:r>
    </w:p>
    <w:p>
      <w:pPr>
        <w:pStyle w:val="ListParagraph"/>
        <w:numPr>
          <w:ilvl w:val="0"/>
          <w:numId w:val="2"/>
        </w:numPr>
        <w:tabs>
          <w:tab w:pos="835" w:val="left" w:leader="none"/>
        </w:tabs>
        <w:spacing w:line="240" w:lineRule="auto" w:before="123" w:after="0"/>
        <w:ind w:left="835" w:right="5904" w:hanging="360"/>
        <w:jc w:val="left"/>
        <w:rPr>
          <w:sz w:val="20"/>
        </w:rPr>
      </w:pPr>
      <w:r>
        <w:rPr>
          <w:sz w:val="20"/>
        </w:rPr>
        <w:t>The revised count of PALM worker numbers in Health care and social assistance businesses are on average higher</w:t>
      </w:r>
      <w:r>
        <w:rPr>
          <w:spacing w:val="-8"/>
          <w:sz w:val="20"/>
        </w:rPr>
        <w:t> </w:t>
      </w:r>
      <w:r>
        <w:rPr>
          <w:sz w:val="20"/>
        </w:rPr>
        <w:t>than</w:t>
      </w:r>
      <w:r>
        <w:rPr>
          <w:spacing w:val="-9"/>
          <w:sz w:val="20"/>
        </w:rPr>
        <w:t> </w:t>
      </w:r>
      <w:r>
        <w:rPr>
          <w:sz w:val="20"/>
        </w:rPr>
        <w:t>previously</w:t>
      </w:r>
      <w:r>
        <w:rPr>
          <w:spacing w:val="-8"/>
          <w:sz w:val="20"/>
        </w:rPr>
        <w:t> </w:t>
      </w:r>
      <w:r>
        <w:rPr>
          <w:sz w:val="20"/>
        </w:rPr>
        <w:t>reported,</w:t>
      </w:r>
      <w:r>
        <w:rPr>
          <w:spacing w:val="-7"/>
          <w:sz w:val="20"/>
        </w:rPr>
        <w:t> </w:t>
      </w:r>
      <w:r>
        <w:rPr>
          <w:sz w:val="20"/>
        </w:rPr>
        <w:t>by</w:t>
      </w:r>
      <w:r>
        <w:rPr>
          <w:spacing w:val="-5"/>
          <w:sz w:val="20"/>
        </w:rPr>
        <w:t> </w:t>
      </w:r>
      <w:r>
        <w:rPr>
          <w:sz w:val="20"/>
        </w:rPr>
        <w:t>7% for 2023/24.</w:t>
      </w:r>
    </w:p>
    <w:p>
      <w:pPr>
        <w:pStyle w:val="BodyText"/>
      </w:pPr>
    </w:p>
    <w:p>
      <w:pPr>
        <w:pStyle w:val="BodyText"/>
      </w:pPr>
    </w:p>
    <w:p>
      <w:pPr>
        <w:pStyle w:val="BodyText"/>
      </w:pPr>
    </w:p>
    <w:p>
      <w:pPr>
        <w:pStyle w:val="BodyText"/>
      </w:pPr>
    </w:p>
    <w:p>
      <w:pPr>
        <w:pStyle w:val="BodyText"/>
      </w:pPr>
    </w:p>
    <w:p>
      <w:pPr>
        <w:pStyle w:val="BodyText"/>
        <w:spacing w:before="215"/>
      </w:pPr>
    </w:p>
    <w:p>
      <w:pPr>
        <w:pStyle w:val="BodyText"/>
        <w:ind w:left="115"/>
      </w:pPr>
      <w:r>
        <w:rPr/>
        <w:drawing>
          <wp:anchor distT="0" distB="0" distL="0" distR="0" allowOverlap="1" layoutInCell="1" locked="0" behindDoc="0" simplePos="0" relativeHeight="15744000">
            <wp:simplePos x="0" y="0"/>
            <wp:positionH relativeFrom="page">
              <wp:posOffset>3575684</wp:posOffset>
            </wp:positionH>
            <wp:positionV relativeFrom="paragraph">
              <wp:posOffset>110007</wp:posOffset>
            </wp:positionV>
            <wp:extent cx="3423285" cy="237553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9" cstate="print"/>
                    <a:stretch>
                      <a:fillRect/>
                    </a:stretch>
                  </pic:blipFill>
                  <pic:spPr>
                    <a:xfrm>
                      <a:off x="0" y="0"/>
                      <a:ext cx="3423285" cy="2375535"/>
                    </a:xfrm>
                    <a:prstGeom prst="rect">
                      <a:avLst/>
                    </a:prstGeom>
                  </pic:spPr>
                </pic:pic>
              </a:graphicData>
            </a:graphic>
          </wp:anchor>
        </w:drawing>
      </w:r>
      <w:r>
        <w:rPr>
          <w:color w:val="252A82"/>
        </w:rPr>
        <w:t>Meat</w:t>
      </w:r>
      <w:r>
        <w:rPr>
          <w:color w:val="252A82"/>
          <w:spacing w:val="-7"/>
        </w:rPr>
        <w:t> </w:t>
      </w:r>
      <w:r>
        <w:rPr>
          <w:color w:val="252A82"/>
          <w:spacing w:val="-2"/>
        </w:rPr>
        <w:t>processing</w:t>
      </w:r>
    </w:p>
    <w:p>
      <w:pPr>
        <w:pStyle w:val="BodyText"/>
        <w:spacing w:line="259" w:lineRule="auto" w:before="200"/>
        <w:ind w:left="115" w:right="5942"/>
        <w:jc w:val="both"/>
      </w:pPr>
      <w:r>
        <w:rPr/>
        <w:t>The</w:t>
      </w:r>
      <w:r>
        <w:rPr>
          <w:spacing w:val="-5"/>
        </w:rPr>
        <w:t> </w:t>
      </w:r>
      <w:r>
        <w:rPr/>
        <w:t>number</w:t>
      </w:r>
      <w:r>
        <w:rPr>
          <w:spacing w:val="-8"/>
        </w:rPr>
        <w:t> </w:t>
      </w:r>
      <w:r>
        <w:rPr/>
        <w:t>of</w:t>
      </w:r>
      <w:r>
        <w:rPr>
          <w:spacing w:val="-6"/>
        </w:rPr>
        <w:t> </w:t>
      </w:r>
      <w:r>
        <w:rPr/>
        <w:t>workers</w:t>
      </w:r>
      <w:r>
        <w:rPr>
          <w:spacing w:val="-6"/>
        </w:rPr>
        <w:t> </w:t>
      </w:r>
      <w:r>
        <w:rPr/>
        <w:t>in</w:t>
      </w:r>
      <w:r>
        <w:rPr>
          <w:spacing w:val="-5"/>
        </w:rPr>
        <w:t> </w:t>
      </w:r>
      <w:r>
        <w:rPr/>
        <w:t>Meat</w:t>
      </w:r>
      <w:r>
        <w:rPr>
          <w:spacing w:val="-7"/>
        </w:rPr>
        <w:t> </w:t>
      </w:r>
      <w:r>
        <w:rPr/>
        <w:t>processing</w:t>
      </w:r>
      <w:r>
        <w:rPr>
          <w:spacing w:val="-6"/>
        </w:rPr>
        <w:t> </w:t>
      </w:r>
      <w:r>
        <w:rPr/>
        <w:t>has shown</w:t>
      </w:r>
      <w:r>
        <w:rPr>
          <w:spacing w:val="-5"/>
        </w:rPr>
        <w:t> </w:t>
      </w:r>
      <w:r>
        <w:rPr/>
        <w:t>consistent</w:t>
      </w:r>
      <w:r>
        <w:rPr>
          <w:spacing w:val="-2"/>
        </w:rPr>
        <w:t> </w:t>
      </w:r>
      <w:r>
        <w:rPr/>
        <w:t>growth</w:t>
      </w:r>
      <w:r>
        <w:rPr>
          <w:spacing w:val="-6"/>
        </w:rPr>
        <w:t> </w:t>
      </w:r>
      <w:r>
        <w:rPr/>
        <w:t>over</w:t>
      </w:r>
      <w:r>
        <w:rPr>
          <w:spacing w:val="-6"/>
        </w:rPr>
        <w:t> </w:t>
      </w:r>
      <w:r>
        <w:rPr/>
        <w:t>the</w:t>
      </w:r>
      <w:r>
        <w:rPr>
          <w:spacing w:val="-5"/>
        </w:rPr>
        <w:t> </w:t>
      </w:r>
      <w:r>
        <w:rPr/>
        <w:t>period</w:t>
      </w:r>
      <w:r>
        <w:rPr>
          <w:spacing w:val="-5"/>
        </w:rPr>
        <w:t> </w:t>
      </w:r>
      <w:r>
        <w:rPr/>
        <w:t>April 2022 to June 2024, up by 143%.</w:t>
      </w:r>
    </w:p>
    <w:p>
      <w:pPr>
        <w:pStyle w:val="BodyText"/>
        <w:spacing w:line="261" w:lineRule="auto" w:before="119"/>
        <w:ind w:left="115" w:right="5794"/>
      </w:pPr>
      <w:r>
        <w:rPr/>
        <w:t>Most</w:t>
      </w:r>
      <w:r>
        <w:rPr>
          <w:spacing w:val="-8"/>
        </w:rPr>
        <w:t> </w:t>
      </w:r>
      <w:r>
        <w:rPr/>
        <w:t>PALM</w:t>
      </w:r>
      <w:r>
        <w:rPr>
          <w:spacing w:val="-9"/>
        </w:rPr>
        <w:t> </w:t>
      </w:r>
      <w:r>
        <w:rPr/>
        <w:t>scheme</w:t>
      </w:r>
      <w:r>
        <w:rPr>
          <w:spacing w:val="-8"/>
        </w:rPr>
        <w:t> </w:t>
      </w:r>
      <w:r>
        <w:rPr/>
        <w:t>meat</w:t>
      </w:r>
      <w:r>
        <w:rPr>
          <w:spacing w:val="-7"/>
        </w:rPr>
        <w:t> </w:t>
      </w:r>
      <w:r>
        <w:rPr/>
        <w:t>processing</w:t>
      </w:r>
      <w:r>
        <w:rPr>
          <w:spacing w:val="-8"/>
        </w:rPr>
        <w:t> </w:t>
      </w:r>
      <w:r>
        <w:rPr/>
        <w:t>workers (around 98%) are in the long-term stream.</w:t>
      </w:r>
    </w:p>
    <w:p>
      <w:pPr>
        <w:pStyle w:val="BodyText"/>
        <w:spacing w:before="115"/>
        <w:ind w:left="115" w:right="5822"/>
      </w:pPr>
      <w:r>
        <w:rPr/>
        <w:t>Similar to other long-term stream cohorts, there was a significant drop in the number of workers</w:t>
      </w:r>
      <w:r>
        <w:rPr>
          <w:spacing w:val="-5"/>
        </w:rPr>
        <w:t> </w:t>
      </w:r>
      <w:r>
        <w:rPr/>
        <w:t>in</w:t>
      </w:r>
      <w:r>
        <w:rPr>
          <w:spacing w:val="-7"/>
        </w:rPr>
        <w:t> </w:t>
      </w:r>
      <w:r>
        <w:rPr/>
        <w:t>December</w:t>
      </w:r>
      <w:r>
        <w:rPr>
          <w:spacing w:val="-7"/>
        </w:rPr>
        <w:t> </w:t>
      </w:r>
      <w:r>
        <w:rPr/>
        <w:t>2023,</w:t>
      </w:r>
      <w:r>
        <w:rPr>
          <w:spacing w:val="-5"/>
        </w:rPr>
        <w:t> </w:t>
      </w:r>
      <w:r>
        <w:rPr/>
        <w:t>down</w:t>
      </w:r>
      <w:r>
        <w:rPr>
          <w:spacing w:val="-4"/>
        </w:rPr>
        <w:t> </w:t>
      </w:r>
      <w:r>
        <w:rPr/>
        <w:t>by</w:t>
      </w:r>
      <w:r>
        <w:rPr>
          <w:spacing w:val="-4"/>
        </w:rPr>
        <w:t> </w:t>
      </w:r>
      <w:r>
        <w:rPr/>
        <w:t>14%</w:t>
      </w:r>
      <w:r>
        <w:rPr>
          <w:spacing w:val="-6"/>
        </w:rPr>
        <w:t> </w:t>
      </w:r>
      <w:r>
        <w:rPr/>
        <w:t>from November 2023.</w:t>
      </w:r>
    </w:p>
    <w:p>
      <w:pPr>
        <w:pStyle w:val="ListParagraph"/>
        <w:numPr>
          <w:ilvl w:val="0"/>
          <w:numId w:val="2"/>
        </w:numPr>
        <w:tabs>
          <w:tab w:pos="835" w:val="left" w:leader="none"/>
        </w:tabs>
        <w:spacing w:line="240" w:lineRule="auto" w:before="121" w:after="0"/>
        <w:ind w:left="835" w:right="5904" w:hanging="360"/>
        <w:jc w:val="left"/>
        <w:rPr>
          <w:sz w:val="20"/>
        </w:rPr>
      </w:pPr>
      <w:r>
        <w:rPr>
          <w:sz w:val="20"/>
        </w:rPr>
        <w:t>The revised counts of PALM worker numbers</w:t>
      </w:r>
      <w:r>
        <w:rPr>
          <w:spacing w:val="-10"/>
          <w:sz w:val="20"/>
        </w:rPr>
        <w:t> </w:t>
      </w:r>
      <w:r>
        <w:rPr>
          <w:sz w:val="20"/>
        </w:rPr>
        <w:t>in</w:t>
      </w:r>
      <w:r>
        <w:rPr>
          <w:spacing w:val="-11"/>
          <w:sz w:val="20"/>
        </w:rPr>
        <w:t> </w:t>
      </w:r>
      <w:r>
        <w:rPr>
          <w:sz w:val="20"/>
        </w:rPr>
        <w:t>Meat</w:t>
      </w:r>
      <w:r>
        <w:rPr>
          <w:spacing w:val="-9"/>
          <w:sz w:val="20"/>
        </w:rPr>
        <w:t> </w:t>
      </w:r>
      <w:r>
        <w:rPr>
          <w:sz w:val="20"/>
        </w:rPr>
        <w:t>processing</w:t>
      </w:r>
      <w:r>
        <w:rPr>
          <w:spacing w:val="-9"/>
          <w:sz w:val="20"/>
        </w:rPr>
        <w:t> </w:t>
      </w:r>
      <w:r>
        <w:rPr>
          <w:sz w:val="20"/>
        </w:rPr>
        <w:t>businesses are on average higher than previously reported, by 10% for 2023/24.</w:t>
      </w:r>
    </w:p>
    <w:p>
      <w:pPr>
        <w:pStyle w:val="BodyText"/>
      </w:pPr>
    </w:p>
    <w:p>
      <w:pPr>
        <w:pStyle w:val="BodyText"/>
      </w:pPr>
    </w:p>
    <w:p>
      <w:pPr>
        <w:pStyle w:val="BodyText"/>
        <w:spacing w:before="206"/>
      </w:pPr>
    </w:p>
    <w:p>
      <w:pPr>
        <w:pStyle w:val="BodyText"/>
        <w:ind w:left="115"/>
      </w:pPr>
      <w:r>
        <w:rPr>
          <w:color w:val="252A82"/>
        </w:rPr>
        <w:t>Other</w:t>
      </w:r>
      <w:r>
        <w:rPr>
          <w:color w:val="252A82"/>
          <w:spacing w:val="-9"/>
        </w:rPr>
        <w:t> </w:t>
      </w:r>
      <w:r>
        <w:rPr>
          <w:color w:val="252A82"/>
          <w:spacing w:val="-2"/>
        </w:rPr>
        <w:t>industries</w:t>
      </w:r>
    </w:p>
    <w:p>
      <w:pPr>
        <w:pStyle w:val="BodyText"/>
        <w:spacing w:before="121"/>
        <w:ind w:left="115" w:right="6085"/>
      </w:pPr>
      <w:r>
        <w:rPr/>
        <w:drawing>
          <wp:anchor distT="0" distB="0" distL="0" distR="0" allowOverlap="1" layoutInCell="1" locked="0" behindDoc="0" simplePos="0" relativeHeight="15744512">
            <wp:simplePos x="0" y="0"/>
            <wp:positionH relativeFrom="page">
              <wp:posOffset>3532504</wp:posOffset>
            </wp:positionH>
            <wp:positionV relativeFrom="paragraph">
              <wp:posOffset>79569</wp:posOffset>
            </wp:positionV>
            <wp:extent cx="3423285" cy="237553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0" cstate="print"/>
                    <a:stretch>
                      <a:fillRect/>
                    </a:stretch>
                  </pic:blipFill>
                  <pic:spPr>
                    <a:xfrm>
                      <a:off x="0" y="0"/>
                      <a:ext cx="3423285" cy="2375535"/>
                    </a:xfrm>
                    <a:prstGeom prst="rect">
                      <a:avLst/>
                    </a:prstGeom>
                  </pic:spPr>
                </pic:pic>
              </a:graphicData>
            </a:graphic>
          </wp:anchor>
        </w:drawing>
      </w:r>
      <w:r>
        <w:rPr/>
        <w:t>This group of industries captures those not otherwise classified to the industries above (i.e. Agriculture, Meat processing, Accommodation,</w:t>
      </w:r>
      <w:r>
        <w:rPr>
          <w:spacing w:val="-7"/>
        </w:rPr>
        <w:t> </w:t>
      </w:r>
      <w:r>
        <w:rPr/>
        <w:t>and</w:t>
      </w:r>
      <w:r>
        <w:rPr>
          <w:spacing w:val="-6"/>
        </w:rPr>
        <w:t> </w:t>
      </w:r>
      <w:r>
        <w:rPr/>
        <w:t>Health</w:t>
      </w:r>
      <w:r>
        <w:rPr>
          <w:spacing w:val="-6"/>
        </w:rPr>
        <w:t> </w:t>
      </w:r>
      <w:r>
        <w:rPr/>
        <w:t>care</w:t>
      </w:r>
      <w:r>
        <w:rPr>
          <w:spacing w:val="-8"/>
        </w:rPr>
        <w:t> </w:t>
      </w:r>
      <w:r>
        <w:rPr/>
        <w:t>and</w:t>
      </w:r>
      <w:r>
        <w:rPr>
          <w:spacing w:val="-6"/>
        </w:rPr>
        <w:t> </w:t>
      </w:r>
      <w:r>
        <w:rPr/>
        <w:t>social </w:t>
      </w:r>
      <w:r>
        <w:rPr>
          <w:spacing w:val="-2"/>
        </w:rPr>
        <w:t>assistance).</w:t>
      </w:r>
    </w:p>
    <w:p>
      <w:pPr>
        <w:pStyle w:val="BodyText"/>
        <w:spacing w:before="120"/>
        <w:ind w:left="115" w:right="5890"/>
      </w:pPr>
      <w:r>
        <w:rPr/>
        <w:t>Changes in the way industry information has been classified over time under different program models has likely impacted the consistency</w:t>
      </w:r>
      <w:r>
        <w:rPr>
          <w:spacing w:val="-8"/>
        </w:rPr>
        <w:t> </w:t>
      </w:r>
      <w:r>
        <w:rPr/>
        <w:t>of</w:t>
      </w:r>
      <w:r>
        <w:rPr>
          <w:spacing w:val="-6"/>
        </w:rPr>
        <w:t> </w:t>
      </w:r>
      <w:r>
        <w:rPr/>
        <w:t>this</w:t>
      </w:r>
      <w:r>
        <w:rPr>
          <w:spacing w:val="-4"/>
        </w:rPr>
        <w:t> </w:t>
      </w:r>
      <w:r>
        <w:rPr/>
        <w:t>data</w:t>
      </w:r>
      <w:r>
        <w:rPr>
          <w:spacing w:val="-7"/>
        </w:rPr>
        <w:t> </w:t>
      </w:r>
      <w:r>
        <w:rPr/>
        <w:t>series.</w:t>
      </w:r>
      <w:r>
        <w:rPr>
          <w:spacing w:val="-5"/>
        </w:rPr>
        <w:t> </w:t>
      </w:r>
      <w:r>
        <w:rPr/>
        <w:t>Caution</w:t>
      </w:r>
      <w:r>
        <w:rPr>
          <w:spacing w:val="-9"/>
        </w:rPr>
        <w:t> </w:t>
      </w:r>
      <w:r>
        <w:rPr/>
        <w:t>needs to be applied when analysing historical data for Other industries.</w:t>
      </w:r>
    </w:p>
    <w:p>
      <w:pPr>
        <w:pStyle w:val="BodyText"/>
        <w:spacing w:before="122"/>
        <w:ind w:left="115" w:right="6061"/>
      </w:pPr>
      <w:r>
        <w:rPr/>
        <w:t>From July 2023, the number of workers in Other industries has been generally increasing,</w:t>
      </w:r>
      <w:r>
        <w:rPr>
          <w:spacing w:val="-5"/>
        </w:rPr>
        <w:t> </w:t>
      </w:r>
      <w:r>
        <w:rPr/>
        <w:t>and</w:t>
      </w:r>
      <w:r>
        <w:rPr>
          <w:spacing w:val="-6"/>
        </w:rPr>
        <w:t> </w:t>
      </w:r>
      <w:r>
        <w:rPr/>
        <w:t>now</w:t>
      </w:r>
      <w:r>
        <w:rPr>
          <w:spacing w:val="-5"/>
        </w:rPr>
        <w:t> </w:t>
      </w:r>
      <w:r>
        <w:rPr/>
        <w:t>stands</w:t>
      </w:r>
      <w:r>
        <w:rPr>
          <w:spacing w:val="-6"/>
        </w:rPr>
        <w:t> </w:t>
      </w:r>
      <w:r>
        <w:rPr/>
        <w:t>at</w:t>
      </w:r>
      <w:r>
        <w:rPr>
          <w:spacing w:val="-3"/>
        </w:rPr>
        <w:t> </w:t>
      </w:r>
      <w:r>
        <w:rPr/>
        <w:t>605</w:t>
      </w:r>
      <w:r>
        <w:rPr>
          <w:spacing w:val="-5"/>
        </w:rPr>
        <w:t> </w:t>
      </w:r>
      <w:r>
        <w:rPr/>
        <w:t>workers</w:t>
      </w:r>
      <w:r>
        <w:rPr>
          <w:spacing w:val="-5"/>
        </w:rPr>
        <w:t> </w:t>
      </w:r>
      <w:r>
        <w:rPr/>
        <w:t>in June 2024.</w:t>
      </w:r>
    </w:p>
    <w:p>
      <w:pPr>
        <w:pStyle w:val="BodyText"/>
      </w:pPr>
    </w:p>
    <w:p>
      <w:pPr>
        <w:pStyle w:val="BodyText"/>
      </w:pPr>
    </w:p>
    <w:p>
      <w:pPr>
        <w:pStyle w:val="BodyText"/>
      </w:pPr>
    </w:p>
    <w:p>
      <w:pPr>
        <w:pStyle w:val="BodyText"/>
        <w:spacing w:before="97"/>
      </w:pPr>
    </w:p>
    <w:p>
      <w:pPr>
        <w:spacing w:line="185" w:lineRule="exact" w:before="0"/>
        <w:ind w:left="9472" w:right="0" w:firstLine="0"/>
        <w:jc w:val="left"/>
        <w:rPr>
          <w:sz w:val="16"/>
        </w:rPr>
      </w:pPr>
      <w:r>
        <w:rPr>
          <w:color w:val="242A82"/>
          <w:spacing w:val="-5"/>
          <w:sz w:val="16"/>
        </w:rPr>
        <w:t>12</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Heading1"/>
        <w:ind w:left="115" w:firstLine="0"/>
      </w:pPr>
      <w:r>
        <w:rPr/>
        <w:drawing>
          <wp:anchor distT="0" distB="0" distL="0" distR="0" allowOverlap="1" layoutInCell="1" locked="0" behindDoc="1" simplePos="0" relativeHeight="487240192">
            <wp:simplePos x="0" y="0"/>
            <wp:positionH relativeFrom="page">
              <wp:posOffset>0</wp:posOffset>
            </wp:positionH>
            <wp:positionV relativeFrom="page">
              <wp:posOffset>60</wp:posOffset>
            </wp:positionV>
            <wp:extent cx="7560564" cy="1065745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7560564" cy="10657459"/>
                    </a:xfrm>
                    <a:prstGeom prst="rect">
                      <a:avLst/>
                    </a:prstGeom>
                  </pic:spPr>
                </pic:pic>
              </a:graphicData>
            </a:graphic>
          </wp:anchor>
        </w:drawing>
      </w:r>
      <w:r>
        <w:rPr>
          <w:color w:val="242A82"/>
        </w:rPr>
        <w:t>PALM</w:t>
      </w:r>
      <w:r>
        <w:rPr>
          <w:color w:val="242A82"/>
          <w:spacing w:val="-5"/>
        </w:rPr>
        <w:t> </w:t>
      </w:r>
      <w:r>
        <w:rPr>
          <w:color w:val="242A82"/>
        </w:rPr>
        <w:t>scheme</w:t>
      </w:r>
      <w:r>
        <w:rPr>
          <w:color w:val="242A82"/>
          <w:spacing w:val="-5"/>
        </w:rPr>
        <w:t> </w:t>
      </w:r>
      <w:r>
        <w:rPr>
          <w:color w:val="242A82"/>
        </w:rPr>
        <w:t>employer</w:t>
      </w:r>
      <w:r>
        <w:rPr>
          <w:color w:val="242A82"/>
          <w:spacing w:val="-5"/>
        </w:rPr>
        <w:t> </w:t>
      </w:r>
      <w:r>
        <w:rPr>
          <w:color w:val="242A82"/>
          <w:spacing w:val="-2"/>
        </w:rPr>
        <w:t>trends</w:t>
      </w:r>
    </w:p>
    <w:p>
      <w:pPr>
        <w:pStyle w:val="BodyText"/>
        <w:spacing w:before="238"/>
        <w:ind w:left="115" w:right="5794"/>
      </w:pPr>
      <w:r>
        <w:rPr/>
        <w:drawing>
          <wp:anchor distT="0" distB="0" distL="0" distR="0" allowOverlap="1" layoutInCell="1" locked="0" behindDoc="0" simplePos="0" relativeHeight="15745536">
            <wp:simplePos x="0" y="0"/>
            <wp:positionH relativeFrom="page">
              <wp:posOffset>3424554</wp:posOffset>
            </wp:positionH>
            <wp:positionV relativeFrom="paragraph">
              <wp:posOffset>157913</wp:posOffset>
            </wp:positionV>
            <wp:extent cx="3625850" cy="241935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1" cstate="print"/>
                    <a:stretch>
                      <a:fillRect/>
                    </a:stretch>
                  </pic:blipFill>
                  <pic:spPr>
                    <a:xfrm>
                      <a:off x="0" y="0"/>
                      <a:ext cx="3625850" cy="2419350"/>
                    </a:xfrm>
                    <a:prstGeom prst="rect">
                      <a:avLst/>
                    </a:prstGeom>
                  </pic:spPr>
                </pic:pic>
              </a:graphicData>
            </a:graphic>
          </wp:anchor>
        </w:drawing>
      </w:r>
      <w:r>
        <w:rPr/>
        <w:t>The</w:t>
      </w:r>
      <w:r>
        <w:rPr>
          <w:spacing w:val="-6"/>
        </w:rPr>
        <w:t> </w:t>
      </w:r>
      <w:r>
        <w:rPr/>
        <w:t>number</w:t>
      </w:r>
      <w:r>
        <w:rPr>
          <w:spacing w:val="-9"/>
        </w:rPr>
        <w:t> </w:t>
      </w:r>
      <w:r>
        <w:rPr/>
        <w:t>of</w:t>
      </w:r>
      <w:r>
        <w:rPr>
          <w:spacing w:val="-7"/>
        </w:rPr>
        <w:t> </w:t>
      </w:r>
      <w:r>
        <w:rPr/>
        <w:t>PALM</w:t>
      </w:r>
      <w:r>
        <w:rPr>
          <w:spacing w:val="-8"/>
        </w:rPr>
        <w:t> </w:t>
      </w:r>
      <w:r>
        <w:rPr/>
        <w:t>Scheme</w:t>
      </w:r>
      <w:r>
        <w:rPr>
          <w:spacing w:val="-8"/>
        </w:rPr>
        <w:t> </w:t>
      </w:r>
      <w:r>
        <w:rPr/>
        <w:t>employers</w:t>
      </w:r>
      <w:r>
        <w:rPr>
          <w:spacing w:val="-7"/>
        </w:rPr>
        <w:t> </w:t>
      </w:r>
      <w:r>
        <w:rPr/>
        <w:t>has been slowly increasing since April 2022.</w:t>
      </w:r>
    </w:p>
    <w:p>
      <w:pPr>
        <w:pStyle w:val="BodyText"/>
        <w:spacing w:line="259" w:lineRule="auto" w:before="121"/>
        <w:ind w:left="115" w:right="6127"/>
      </w:pPr>
      <w:r>
        <w:rPr/>
        <w:t>From June 2023 to September 2023, there was</w:t>
      </w:r>
      <w:r>
        <w:rPr>
          <w:spacing w:val="-6"/>
        </w:rPr>
        <w:t> </w:t>
      </w:r>
      <w:r>
        <w:rPr/>
        <w:t>a</w:t>
      </w:r>
      <w:r>
        <w:rPr>
          <w:spacing w:val="-6"/>
        </w:rPr>
        <w:t> </w:t>
      </w:r>
      <w:r>
        <w:rPr/>
        <w:t>surge</w:t>
      </w:r>
      <w:r>
        <w:rPr>
          <w:spacing w:val="-7"/>
        </w:rPr>
        <w:t> </w:t>
      </w:r>
      <w:r>
        <w:rPr/>
        <w:t>of</w:t>
      </w:r>
      <w:r>
        <w:rPr>
          <w:spacing w:val="-6"/>
        </w:rPr>
        <w:t> </w:t>
      </w:r>
      <w:r>
        <w:rPr/>
        <w:t>direct</w:t>
      </w:r>
      <w:r>
        <w:rPr>
          <w:spacing w:val="-7"/>
        </w:rPr>
        <w:t> </w:t>
      </w:r>
      <w:r>
        <w:rPr/>
        <w:t>employers</w:t>
      </w:r>
      <w:r>
        <w:rPr>
          <w:spacing w:val="-6"/>
        </w:rPr>
        <w:t> </w:t>
      </w:r>
      <w:r>
        <w:rPr/>
        <w:t>joining</w:t>
      </w:r>
      <w:r>
        <w:rPr>
          <w:spacing w:val="-6"/>
        </w:rPr>
        <w:t> </w:t>
      </w:r>
      <w:r>
        <w:rPr/>
        <w:t>the scheme, up by 16%.</w:t>
      </w:r>
      <w:r>
        <w:rPr>
          <w:spacing w:val="40"/>
        </w:rPr>
        <w:t> </w:t>
      </w:r>
      <w:r>
        <w:rPr/>
        <w:t>The number of direct employers flattened from September 2023 to June 2024,</w:t>
      </w:r>
    </w:p>
    <w:p>
      <w:pPr>
        <w:pStyle w:val="BodyText"/>
        <w:spacing w:line="231" w:lineRule="exact"/>
        <w:ind w:left="115"/>
      </w:pPr>
      <w:r>
        <w:rPr/>
        <w:t>up</w:t>
      </w:r>
      <w:r>
        <w:rPr>
          <w:spacing w:val="-3"/>
        </w:rPr>
        <w:t> </w:t>
      </w:r>
      <w:r>
        <w:rPr/>
        <w:t>by</w:t>
      </w:r>
      <w:r>
        <w:rPr>
          <w:spacing w:val="-4"/>
        </w:rPr>
        <w:t> </w:t>
      </w:r>
      <w:r>
        <w:rPr>
          <w:spacing w:val="-5"/>
        </w:rPr>
        <w:t>1%.</w:t>
      </w:r>
    </w:p>
    <w:p>
      <w:pPr>
        <w:pStyle w:val="BodyText"/>
        <w:spacing w:line="259" w:lineRule="auto" w:before="138"/>
        <w:ind w:left="115" w:right="6138"/>
      </w:pPr>
      <w:r>
        <w:rPr/>
        <w:t>The number of labour hire companies has remained relatively consistent, increasing by</w:t>
      </w:r>
      <w:r>
        <w:rPr>
          <w:spacing w:val="-5"/>
        </w:rPr>
        <w:t> </w:t>
      </w:r>
      <w:r>
        <w:rPr/>
        <w:t>2%</w:t>
      </w:r>
      <w:r>
        <w:rPr>
          <w:spacing w:val="-5"/>
        </w:rPr>
        <w:t> </w:t>
      </w:r>
      <w:r>
        <w:rPr/>
        <w:t>in</w:t>
      </w:r>
      <w:r>
        <w:rPr>
          <w:spacing w:val="-6"/>
        </w:rPr>
        <w:t> </w:t>
      </w:r>
      <w:r>
        <w:rPr/>
        <w:t>the</w:t>
      </w:r>
      <w:r>
        <w:rPr>
          <w:spacing w:val="-5"/>
        </w:rPr>
        <w:t> </w:t>
      </w:r>
      <w:r>
        <w:rPr/>
        <w:t>period</w:t>
      </w:r>
      <w:r>
        <w:rPr>
          <w:spacing w:val="-5"/>
        </w:rPr>
        <w:t> </w:t>
      </w:r>
      <w:r>
        <w:rPr/>
        <w:t>June</w:t>
      </w:r>
      <w:r>
        <w:rPr>
          <w:spacing w:val="-5"/>
        </w:rPr>
        <w:t> </w:t>
      </w:r>
      <w:r>
        <w:rPr/>
        <w:t>2023</w:t>
      </w:r>
      <w:r>
        <w:rPr>
          <w:spacing w:val="-4"/>
        </w:rPr>
        <w:t> </w:t>
      </w:r>
      <w:r>
        <w:rPr/>
        <w:t>to</w:t>
      </w:r>
      <w:r>
        <w:rPr>
          <w:spacing w:val="-4"/>
        </w:rPr>
        <w:t> </w:t>
      </w:r>
      <w:r>
        <w:rPr/>
        <w:t>September 2023, and up by 1% in the following period to June 2024.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6"/>
        <w:rPr>
          <w:sz w:val="16"/>
        </w:rPr>
      </w:pPr>
    </w:p>
    <w:p>
      <w:pPr>
        <w:spacing w:line="185" w:lineRule="exact" w:before="1"/>
        <w:ind w:left="9472" w:right="0" w:firstLine="0"/>
        <w:jc w:val="left"/>
        <w:rPr>
          <w:sz w:val="16"/>
        </w:rPr>
      </w:pPr>
      <w:r>
        <w:rPr>
          <w:color w:val="242A82"/>
          <w:spacing w:val="-5"/>
          <w:sz w:val="16"/>
        </w:rPr>
        <w:t>13</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pStyle w:val="Heading1"/>
        <w:numPr>
          <w:ilvl w:val="0"/>
          <w:numId w:val="1"/>
        </w:numPr>
        <w:tabs>
          <w:tab w:pos="541" w:val="left" w:leader="none"/>
        </w:tabs>
        <w:spacing w:line="240" w:lineRule="auto" w:before="90" w:after="0"/>
        <w:ind w:left="541" w:right="0" w:hanging="426"/>
        <w:jc w:val="left"/>
      </w:pPr>
      <w:r>
        <w:rPr/>
        <w:drawing>
          <wp:anchor distT="0" distB="0" distL="0" distR="0" allowOverlap="1" layoutInCell="1" locked="0" behindDoc="1" simplePos="0" relativeHeight="487241216">
            <wp:simplePos x="0" y="0"/>
            <wp:positionH relativeFrom="page">
              <wp:posOffset>0</wp:posOffset>
            </wp:positionH>
            <wp:positionV relativeFrom="page">
              <wp:posOffset>60</wp:posOffset>
            </wp:positionV>
            <wp:extent cx="7560564" cy="1065745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7560564" cy="10657459"/>
                    </a:xfrm>
                    <a:prstGeom prst="rect">
                      <a:avLst/>
                    </a:prstGeom>
                  </pic:spPr>
                </pic:pic>
              </a:graphicData>
            </a:graphic>
          </wp:anchor>
        </w:drawing>
      </w:r>
      <w:r>
        <w:rPr>
          <w:color w:val="242A82"/>
        </w:rPr>
        <w:t>Explanatory</w:t>
      </w:r>
      <w:r>
        <w:rPr>
          <w:color w:val="242A82"/>
          <w:spacing w:val="-8"/>
        </w:rPr>
        <w:t> </w:t>
      </w:r>
      <w:r>
        <w:rPr>
          <w:color w:val="242A82"/>
          <w:spacing w:val="-4"/>
        </w:rPr>
        <w:t>notes</w:t>
      </w:r>
    </w:p>
    <w:p>
      <w:pPr>
        <w:pStyle w:val="Heading2"/>
        <w:spacing w:before="238"/>
      </w:pPr>
      <w:r>
        <w:rPr>
          <w:color w:val="242A82"/>
        </w:rPr>
        <w:t>Data</w:t>
      </w:r>
      <w:r>
        <w:rPr>
          <w:color w:val="242A82"/>
          <w:spacing w:val="-4"/>
        </w:rPr>
        <w:t> </w:t>
      </w:r>
      <w:r>
        <w:rPr>
          <w:color w:val="242A82"/>
          <w:spacing w:val="-2"/>
        </w:rPr>
        <w:t>sources</w:t>
      </w:r>
    </w:p>
    <w:p>
      <w:pPr>
        <w:pStyle w:val="BodyText"/>
        <w:spacing w:before="119"/>
        <w:ind w:left="115" w:right="567"/>
      </w:pPr>
      <w:r>
        <w:rPr/>
        <w:t>PALM scheme worker data is a combination of data from the Department of Employment and Workplace Relations (DEWR) IT systems and visa data sourced from the Department of Home Affairs. This data is reliant</w:t>
      </w:r>
      <w:r>
        <w:rPr>
          <w:spacing w:val="-3"/>
        </w:rPr>
        <w:t> </w:t>
      </w:r>
      <w:r>
        <w:rPr/>
        <w:t>on</w:t>
      </w:r>
      <w:r>
        <w:rPr>
          <w:spacing w:val="-4"/>
        </w:rPr>
        <w:t> </w:t>
      </w:r>
      <w:r>
        <w:rPr/>
        <w:t>information</w:t>
      </w:r>
      <w:r>
        <w:rPr>
          <w:spacing w:val="-2"/>
        </w:rPr>
        <w:t> </w:t>
      </w:r>
      <w:r>
        <w:rPr/>
        <w:t>entered</w:t>
      </w:r>
      <w:r>
        <w:rPr>
          <w:spacing w:val="-2"/>
        </w:rPr>
        <w:t> </w:t>
      </w:r>
      <w:r>
        <w:rPr/>
        <w:t>by</w:t>
      </w:r>
      <w:r>
        <w:rPr>
          <w:spacing w:val="-3"/>
        </w:rPr>
        <w:t> </w:t>
      </w:r>
      <w:r>
        <w:rPr/>
        <w:t>labour</w:t>
      </w:r>
      <w:r>
        <w:rPr>
          <w:spacing w:val="-2"/>
        </w:rPr>
        <w:t> </w:t>
      </w:r>
      <w:r>
        <w:rPr/>
        <w:t>sending</w:t>
      </w:r>
      <w:r>
        <w:rPr>
          <w:spacing w:val="-1"/>
        </w:rPr>
        <w:t> </w:t>
      </w:r>
      <w:r>
        <w:rPr/>
        <w:t>units located</w:t>
      </w:r>
      <w:r>
        <w:rPr>
          <w:spacing w:val="-4"/>
        </w:rPr>
        <w:t> </w:t>
      </w:r>
      <w:r>
        <w:rPr/>
        <w:t>in</w:t>
      </w:r>
      <w:r>
        <w:rPr>
          <w:spacing w:val="-4"/>
        </w:rPr>
        <w:t> </w:t>
      </w:r>
      <w:r>
        <w:rPr/>
        <w:t>each</w:t>
      </w:r>
      <w:r>
        <w:rPr>
          <w:spacing w:val="-4"/>
        </w:rPr>
        <w:t> </w:t>
      </w:r>
      <w:r>
        <w:rPr/>
        <w:t>of</w:t>
      </w:r>
      <w:r>
        <w:rPr>
          <w:spacing w:val="-2"/>
        </w:rPr>
        <w:t> </w:t>
      </w:r>
      <w:r>
        <w:rPr/>
        <w:t>the</w:t>
      </w:r>
      <w:r>
        <w:rPr>
          <w:spacing w:val="-3"/>
        </w:rPr>
        <w:t> </w:t>
      </w:r>
      <w:r>
        <w:rPr/>
        <w:t>partner</w:t>
      </w:r>
      <w:r>
        <w:rPr>
          <w:spacing w:val="-2"/>
        </w:rPr>
        <w:t> </w:t>
      </w:r>
      <w:r>
        <w:rPr/>
        <w:t>countries</w:t>
      </w:r>
      <w:r>
        <w:rPr>
          <w:spacing w:val="-2"/>
        </w:rPr>
        <w:t> </w:t>
      </w:r>
      <w:r>
        <w:rPr/>
        <w:t>and</w:t>
      </w:r>
      <w:r>
        <w:rPr>
          <w:spacing w:val="-3"/>
        </w:rPr>
        <w:t> </w:t>
      </w:r>
      <w:r>
        <w:rPr/>
        <w:t>PALM scheme employers.</w:t>
      </w:r>
    </w:p>
    <w:p>
      <w:pPr>
        <w:pStyle w:val="BodyText"/>
        <w:spacing w:before="10"/>
      </w:pPr>
    </w:p>
    <w:p>
      <w:pPr>
        <w:pStyle w:val="Heading2"/>
      </w:pPr>
      <w:r>
        <w:rPr>
          <w:color w:val="242A82"/>
        </w:rPr>
        <w:t>Data</w:t>
      </w:r>
      <w:r>
        <w:rPr>
          <w:color w:val="242A82"/>
          <w:spacing w:val="-4"/>
        </w:rPr>
        <w:t> </w:t>
      </w:r>
      <w:r>
        <w:rPr>
          <w:color w:val="242A82"/>
          <w:spacing w:val="-2"/>
        </w:rPr>
        <w:t>confidentiality</w:t>
      </w:r>
    </w:p>
    <w:p>
      <w:pPr>
        <w:pStyle w:val="BodyText"/>
        <w:spacing w:before="119"/>
        <w:ind w:left="115" w:right="567"/>
      </w:pPr>
      <w:r>
        <w:rPr/>
        <w:t>To protect individuals’ privacy, all cells including any totals and subtotals have been rounded to the nearest 5; values from 1 to 7 are rounded to 5. Zero cells are actual zeros. This may result in non- additivity</w:t>
      </w:r>
      <w:r>
        <w:rPr>
          <w:spacing w:val="-3"/>
        </w:rPr>
        <w:t> </w:t>
      </w:r>
      <w:r>
        <w:rPr/>
        <w:t>for</w:t>
      </w:r>
      <w:r>
        <w:rPr>
          <w:spacing w:val="-3"/>
        </w:rPr>
        <w:t> </w:t>
      </w:r>
      <w:r>
        <w:rPr/>
        <w:t>some</w:t>
      </w:r>
      <w:r>
        <w:rPr>
          <w:spacing w:val="-3"/>
        </w:rPr>
        <w:t> </w:t>
      </w:r>
      <w:r>
        <w:rPr/>
        <w:t>totals.</w:t>
      </w:r>
      <w:r>
        <w:rPr>
          <w:spacing w:val="-4"/>
        </w:rPr>
        <w:t> </w:t>
      </w:r>
      <w:r>
        <w:rPr/>
        <w:t>Caution</w:t>
      </w:r>
      <w:r>
        <w:rPr>
          <w:spacing w:val="-4"/>
        </w:rPr>
        <w:t> </w:t>
      </w:r>
      <w:r>
        <w:rPr/>
        <w:t>should</w:t>
      </w:r>
      <w:r>
        <w:rPr>
          <w:spacing w:val="-3"/>
        </w:rPr>
        <w:t> </w:t>
      </w:r>
      <w:r>
        <w:rPr/>
        <w:t>be</w:t>
      </w:r>
      <w:r>
        <w:rPr>
          <w:spacing w:val="-3"/>
        </w:rPr>
        <w:t> </w:t>
      </w:r>
      <w:r>
        <w:rPr/>
        <w:t>taken</w:t>
      </w:r>
      <w:r>
        <w:rPr>
          <w:spacing w:val="-4"/>
        </w:rPr>
        <w:t> </w:t>
      </w:r>
      <w:r>
        <w:rPr/>
        <w:t>in</w:t>
      </w:r>
      <w:r>
        <w:rPr>
          <w:spacing w:val="-1"/>
        </w:rPr>
        <w:t> </w:t>
      </w:r>
      <w:r>
        <w:rPr/>
        <w:t>recalculating</w:t>
      </w:r>
      <w:r>
        <w:rPr>
          <w:spacing w:val="-2"/>
        </w:rPr>
        <w:t> </w:t>
      </w:r>
      <w:r>
        <w:rPr/>
        <w:t>totals</w:t>
      </w:r>
      <w:r>
        <w:rPr>
          <w:spacing w:val="-2"/>
        </w:rPr>
        <w:t> </w:t>
      </w:r>
      <w:r>
        <w:rPr/>
        <w:t>from</w:t>
      </w:r>
      <w:r>
        <w:rPr>
          <w:spacing w:val="-3"/>
        </w:rPr>
        <w:t> </w:t>
      </w:r>
      <w:r>
        <w:rPr/>
        <w:t>rounded</w:t>
      </w:r>
      <w:r>
        <w:rPr>
          <w:spacing w:val="-2"/>
        </w:rPr>
        <w:t> </w:t>
      </w:r>
      <w:r>
        <w:rPr/>
        <w:t>data,</w:t>
      </w:r>
      <w:r>
        <w:rPr>
          <w:spacing w:val="-2"/>
        </w:rPr>
        <w:t> </w:t>
      </w:r>
      <w:r>
        <w:rPr/>
        <w:t>as</w:t>
      </w:r>
      <w:r>
        <w:rPr>
          <w:spacing w:val="-2"/>
        </w:rPr>
        <w:t> </w:t>
      </w:r>
      <w:r>
        <w:rPr/>
        <w:t>this</w:t>
      </w:r>
      <w:r>
        <w:rPr>
          <w:spacing w:val="-2"/>
        </w:rPr>
        <w:t> </w:t>
      </w:r>
      <w:r>
        <w:rPr/>
        <w:t>may compound the effects of rounding.</w:t>
      </w:r>
    </w:p>
    <w:p>
      <w:pPr>
        <w:pStyle w:val="BodyText"/>
        <w:spacing w:before="8"/>
      </w:pPr>
    </w:p>
    <w:p>
      <w:pPr>
        <w:pStyle w:val="Heading2"/>
      </w:pPr>
      <w:r>
        <w:rPr>
          <w:color w:val="242A82"/>
          <w:spacing w:val="-2"/>
        </w:rPr>
        <w:t>Glossary</w:t>
      </w:r>
    </w:p>
    <w:p>
      <w:pPr>
        <w:spacing w:before="119"/>
        <w:ind w:left="115" w:right="0" w:firstLine="0"/>
        <w:jc w:val="left"/>
        <w:rPr>
          <w:i/>
          <w:sz w:val="20"/>
        </w:rPr>
      </w:pPr>
      <w:r>
        <w:rPr>
          <w:i/>
          <w:sz w:val="20"/>
        </w:rPr>
        <w:t>PALM</w:t>
      </w:r>
      <w:r>
        <w:rPr>
          <w:i/>
          <w:spacing w:val="-10"/>
          <w:sz w:val="20"/>
        </w:rPr>
        <w:t> </w:t>
      </w:r>
      <w:r>
        <w:rPr>
          <w:i/>
          <w:sz w:val="20"/>
        </w:rPr>
        <w:t>scheme</w:t>
      </w:r>
      <w:r>
        <w:rPr>
          <w:i/>
          <w:spacing w:val="-9"/>
          <w:sz w:val="20"/>
        </w:rPr>
        <w:t> </w:t>
      </w:r>
      <w:r>
        <w:rPr>
          <w:i/>
          <w:spacing w:val="-2"/>
          <w:sz w:val="20"/>
        </w:rPr>
        <w:t>worker:</w:t>
      </w:r>
    </w:p>
    <w:p>
      <w:pPr>
        <w:pStyle w:val="BodyText"/>
        <w:spacing w:before="121"/>
        <w:ind w:left="115" w:right="567"/>
      </w:pPr>
      <w:r>
        <w:rPr/>
        <w:t>Citizen</w:t>
      </w:r>
      <w:r>
        <w:rPr>
          <w:spacing w:val="-5"/>
        </w:rPr>
        <w:t> </w:t>
      </w:r>
      <w:r>
        <w:rPr/>
        <w:t>of</w:t>
      </w:r>
      <w:r>
        <w:rPr>
          <w:spacing w:val="-3"/>
        </w:rPr>
        <w:t> </w:t>
      </w:r>
      <w:r>
        <w:rPr/>
        <w:t>a</w:t>
      </w:r>
      <w:r>
        <w:rPr>
          <w:spacing w:val="-3"/>
        </w:rPr>
        <w:t> </w:t>
      </w:r>
      <w:r>
        <w:rPr/>
        <w:t>PALM</w:t>
      </w:r>
      <w:r>
        <w:rPr>
          <w:spacing w:val="-4"/>
        </w:rPr>
        <w:t> </w:t>
      </w:r>
      <w:r>
        <w:rPr/>
        <w:t>scheme</w:t>
      </w:r>
      <w:r>
        <w:rPr>
          <w:spacing w:val="-2"/>
        </w:rPr>
        <w:t> </w:t>
      </w:r>
      <w:r>
        <w:rPr/>
        <w:t>participating</w:t>
      </w:r>
      <w:r>
        <w:rPr>
          <w:spacing w:val="-3"/>
        </w:rPr>
        <w:t> </w:t>
      </w:r>
      <w:r>
        <w:rPr/>
        <w:t>country</w:t>
      </w:r>
      <w:r>
        <w:rPr>
          <w:spacing w:val="-4"/>
        </w:rPr>
        <w:t> </w:t>
      </w:r>
      <w:r>
        <w:rPr/>
        <w:t>who</w:t>
      </w:r>
      <w:r>
        <w:rPr>
          <w:spacing w:val="-3"/>
        </w:rPr>
        <w:t> </w:t>
      </w:r>
      <w:r>
        <w:rPr/>
        <w:t>is</w:t>
      </w:r>
      <w:r>
        <w:rPr>
          <w:spacing w:val="-3"/>
        </w:rPr>
        <w:t> </w:t>
      </w:r>
      <w:r>
        <w:rPr/>
        <w:t>issued</w:t>
      </w:r>
      <w:r>
        <w:rPr>
          <w:spacing w:val="-5"/>
        </w:rPr>
        <w:t> </w:t>
      </w:r>
      <w:r>
        <w:rPr/>
        <w:t>an</w:t>
      </w:r>
      <w:r>
        <w:rPr>
          <w:spacing w:val="-5"/>
        </w:rPr>
        <w:t> </w:t>
      </w:r>
      <w:r>
        <w:rPr/>
        <w:t>approved</w:t>
      </w:r>
      <w:r>
        <w:rPr>
          <w:spacing w:val="-3"/>
        </w:rPr>
        <w:t> </w:t>
      </w:r>
      <w:r>
        <w:rPr/>
        <w:t>offer</w:t>
      </w:r>
      <w:r>
        <w:rPr>
          <w:spacing w:val="-3"/>
        </w:rPr>
        <w:t> </w:t>
      </w:r>
      <w:r>
        <w:rPr/>
        <w:t>of</w:t>
      </w:r>
      <w:r>
        <w:rPr>
          <w:spacing w:val="-3"/>
        </w:rPr>
        <w:t> </w:t>
      </w:r>
      <w:r>
        <w:rPr/>
        <w:t>employment</w:t>
      </w:r>
      <w:r>
        <w:rPr>
          <w:spacing w:val="-4"/>
        </w:rPr>
        <w:t> </w:t>
      </w:r>
      <w:r>
        <w:rPr/>
        <w:t>in accordance with the PALM scheme deed and who is granted a PALM stream - temporary work (international relations) visa (subclass 403) or who holds a pandemic event (subclass 408) visa.</w:t>
      </w:r>
    </w:p>
    <w:p>
      <w:pPr>
        <w:pStyle w:val="ListParagraph"/>
        <w:numPr>
          <w:ilvl w:val="0"/>
          <w:numId w:val="3"/>
        </w:numPr>
        <w:tabs>
          <w:tab w:pos="835" w:val="left" w:leader="none"/>
        </w:tabs>
        <w:spacing w:line="240" w:lineRule="auto" w:before="120" w:after="0"/>
        <w:ind w:left="835" w:right="608" w:hanging="360"/>
        <w:jc w:val="left"/>
        <w:rPr>
          <w:sz w:val="20"/>
        </w:rPr>
      </w:pPr>
      <w:r>
        <w:rPr>
          <w:sz w:val="20"/>
        </w:rPr>
        <w:t>Some</w:t>
      </w:r>
      <w:r>
        <w:rPr>
          <w:spacing w:val="-4"/>
          <w:sz w:val="20"/>
        </w:rPr>
        <w:t> </w:t>
      </w:r>
      <w:r>
        <w:rPr>
          <w:sz w:val="20"/>
        </w:rPr>
        <w:t>PALM</w:t>
      </w:r>
      <w:r>
        <w:rPr>
          <w:spacing w:val="-4"/>
          <w:sz w:val="20"/>
        </w:rPr>
        <w:t> </w:t>
      </w:r>
      <w:r>
        <w:rPr>
          <w:sz w:val="20"/>
        </w:rPr>
        <w:t>scheme</w:t>
      </w:r>
      <w:r>
        <w:rPr>
          <w:spacing w:val="-5"/>
          <w:sz w:val="20"/>
        </w:rPr>
        <w:t> </w:t>
      </w:r>
      <w:r>
        <w:rPr>
          <w:sz w:val="20"/>
        </w:rPr>
        <w:t>workers</w:t>
      </w:r>
      <w:r>
        <w:rPr>
          <w:spacing w:val="-3"/>
          <w:sz w:val="20"/>
        </w:rPr>
        <w:t> </w:t>
      </w:r>
      <w:r>
        <w:rPr>
          <w:sz w:val="20"/>
        </w:rPr>
        <w:t>continue</w:t>
      </w:r>
      <w:r>
        <w:rPr>
          <w:spacing w:val="-4"/>
          <w:sz w:val="20"/>
        </w:rPr>
        <w:t> </w:t>
      </w:r>
      <w:r>
        <w:rPr>
          <w:sz w:val="20"/>
        </w:rPr>
        <w:t>to</w:t>
      </w:r>
      <w:r>
        <w:rPr>
          <w:spacing w:val="-3"/>
          <w:sz w:val="20"/>
        </w:rPr>
        <w:t> </w:t>
      </w:r>
      <w:r>
        <w:rPr>
          <w:sz w:val="20"/>
        </w:rPr>
        <w:t>hold</w:t>
      </w:r>
      <w:r>
        <w:rPr>
          <w:spacing w:val="-4"/>
          <w:sz w:val="20"/>
        </w:rPr>
        <w:t> </w:t>
      </w:r>
      <w:r>
        <w:rPr>
          <w:sz w:val="20"/>
        </w:rPr>
        <w:t>a</w:t>
      </w:r>
      <w:r>
        <w:rPr>
          <w:spacing w:val="-4"/>
          <w:sz w:val="20"/>
        </w:rPr>
        <w:t> </w:t>
      </w:r>
      <w:r>
        <w:rPr>
          <w:sz w:val="20"/>
        </w:rPr>
        <w:t>Pandemic</w:t>
      </w:r>
      <w:r>
        <w:rPr>
          <w:spacing w:val="-4"/>
          <w:sz w:val="20"/>
        </w:rPr>
        <w:t> </w:t>
      </w:r>
      <w:r>
        <w:rPr>
          <w:sz w:val="20"/>
        </w:rPr>
        <w:t>event</w:t>
      </w:r>
      <w:r>
        <w:rPr>
          <w:spacing w:val="-4"/>
          <w:sz w:val="20"/>
        </w:rPr>
        <w:t> </w:t>
      </w:r>
      <w:r>
        <w:rPr>
          <w:sz w:val="20"/>
        </w:rPr>
        <w:t>(subclass</w:t>
      </w:r>
      <w:r>
        <w:rPr>
          <w:spacing w:val="-3"/>
          <w:sz w:val="20"/>
        </w:rPr>
        <w:t> </w:t>
      </w:r>
      <w:r>
        <w:rPr>
          <w:sz w:val="20"/>
        </w:rPr>
        <w:t>408)</w:t>
      </w:r>
      <w:r>
        <w:rPr>
          <w:spacing w:val="-3"/>
          <w:sz w:val="20"/>
        </w:rPr>
        <w:t> </w:t>
      </w:r>
      <w:r>
        <w:rPr>
          <w:sz w:val="20"/>
        </w:rPr>
        <w:t>visa.</w:t>
      </w:r>
      <w:r>
        <w:rPr>
          <w:spacing w:val="-3"/>
          <w:sz w:val="20"/>
        </w:rPr>
        <w:t> </w:t>
      </w:r>
      <w:r>
        <w:rPr>
          <w:sz w:val="20"/>
        </w:rPr>
        <w:t>This</w:t>
      </w:r>
      <w:r>
        <w:rPr>
          <w:spacing w:val="-3"/>
          <w:sz w:val="20"/>
        </w:rPr>
        <w:t> </w:t>
      </w:r>
      <w:r>
        <w:rPr>
          <w:sz w:val="20"/>
        </w:rPr>
        <w:t>visa</w:t>
      </w:r>
      <w:r>
        <w:rPr>
          <w:spacing w:val="-3"/>
          <w:sz w:val="20"/>
        </w:rPr>
        <w:t> </w:t>
      </w:r>
      <w:r>
        <w:rPr>
          <w:sz w:val="20"/>
        </w:rPr>
        <w:t>type is no longer being granted for the purposes of participating in the PALM scheme. Existing Pandemic event (subclass 408) visas will phase out until the end of 2024.</w:t>
      </w:r>
    </w:p>
    <w:p>
      <w:pPr>
        <w:pStyle w:val="BodyText"/>
      </w:pPr>
    </w:p>
    <w:p>
      <w:pPr>
        <w:pStyle w:val="BodyText"/>
        <w:ind w:left="115" w:right="765"/>
      </w:pPr>
      <w:r>
        <w:rPr/>
        <w:t>PALM scheme worker data is derived by combining data from DEWR's IT systems and visa data sourced from the Department of Home Affairs. DEWR data is matched against visa data for comprehensive validation</w:t>
      </w:r>
      <w:r>
        <w:rPr>
          <w:spacing w:val="-4"/>
        </w:rPr>
        <w:t> </w:t>
      </w:r>
      <w:r>
        <w:rPr/>
        <w:t>and</w:t>
      </w:r>
      <w:r>
        <w:rPr>
          <w:spacing w:val="-3"/>
        </w:rPr>
        <w:t> </w:t>
      </w:r>
      <w:r>
        <w:rPr/>
        <w:t>used</w:t>
      </w:r>
      <w:r>
        <w:rPr>
          <w:spacing w:val="-2"/>
        </w:rPr>
        <w:t> </w:t>
      </w:r>
      <w:r>
        <w:rPr/>
        <w:t>to</w:t>
      </w:r>
      <w:r>
        <w:rPr>
          <w:spacing w:val="-2"/>
        </w:rPr>
        <w:t> </w:t>
      </w:r>
      <w:r>
        <w:rPr/>
        <w:t>construct</w:t>
      </w:r>
      <w:r>
        <w:rPr>
          <w:spacing w:val="-3"/>
        </w:rPr>
        <w:t> </w:t>
      </w:r>
      <w:r>
        <w:rPr/>
        <w:t>valid</w:t>
      </w:r>
      <w:r>
        <w:rPr>
          <w:spacing w:val="-3"/>
        </w:rPr>
        <w:t> </w:t>
      </w:r>
      <w:r>
        <w:rPr/>
        <w:t>and</w:t>
      </w:r>
      <w:r>
        <w:rPr>
          <w:spacing w:val="-3"/>
        </w:rPr>
        <w:t> </w:t>
      </w:r>
      <w:r>
        <w:rPr/>
        <w:t>accurate</w:t>
      </w:r>
      <w:r>
        <w:rPr>
          <w:spacing w:val="-1"/>
        </w:rPr>
        <w:t> </w:t>
      </w:r>
      <w:r>
        <w:rPr/>
        <w:t>counts</w:t>
      </w:r>
      <w:r>
        <w:rPr>
          <w:spacing w:val="-2"/>
        </w:rPr>
        <w:t> </w:t>
      </w:r>
      <w:r>
        <w:rPr/>
        <w:t>for</w:t>
      </w:r>
      <w:r>
        <w:rPr>
          <w:spacing w:val="-3"/>
        </w:rPr>
        <w:t> </w:t>
      </w:r>
      <w:r>
        <w:rPr/>
        <w:t>PALM</w:t>
      </w:r>
      <w:r>
        <w:rPr>
          <w:spacing w:val="-3"/>
        </w:rPr>
        <w:t> </w:t>
      </w:r>
      <w:r>
        <w:rPr/>
        <w:t>scheme</w:t>
      </w:r>
      <w:r>
        <w:rPr>
          <w:spacing w:val="-3"/>
        </w:rPr>
        <w:t> </w:t>
      </w:r>
      <w:r>
        <w:rPr/>
        <w:t>workers</w:t>
      </w:r>
      <w:r>
        <w:rPr>
          <w:spacing w:val="-2"/>
        </w:rPr>
        <w:t> </w:t>
      </w:r>
      <w:r>
        <w:rPr/>
        <w:t>who</w:t>
      </w:r>
      <w:r>
        <w:rPr>
          <w:spacing w:val="-2"/>
        </w:rPr>
        <w:t> </w:t>
      </w:r>
      <w:r>
        <w:rPr/>
        <w:t>are</w:t>
      </w:r>
      <w:r>
        <w:rPr>
          <w:spacing w:val="-3"/>
        </w:rPr>
        <w:t> </w:t>
      </w:r>
      <w:r>
        <w:rPr/>
        <w:t>identified in visa data as onshore. Offshore visa holders are excluded from the counts.</w:t>
      </w:r>
    </w:p>
    <w:p>
      <w:pPr>
        <w:pStyle w:val="BodyText"/>
      </w:pPr>
    </w:p>
    <w:p>
      <w:pPr>
        <w:spacing w:before="1"/>
        <w:ind w:left="115" w:right="0" w:firstLine="0"/>
        <w:jc w:val="left"/>
        <w:rPr>
          <w:i/>
          <w:sz w:val="20"/>
        </w:rPr>
      </w:pPr>
      <w:r>
        <w:rPr>
          <w:i/>
          <w:sz w:val="20"/>
        </w:rPr>
        <w:t>PALM</w:t>
      </w:r>
      <w:r>
        <w:rPr>
          <w:i/>
          <w:spacing w:val="-10"/>
          <w:sz w:val="20"/>
        </w:rPr>
        <w:t> </w:t>
      </w:r>
      <w:r>
        <w:rPr>
          <w:i/>
          <w:sz w:val="20"/>
        </w:rPr>
        <w:t>scheme</w:t>
      </w:r>
      <w:r>
        <w:rPr>
          <w:i/>
          <w:spacing w:val="-9"/>
          <w:sz w:val="20"/>
        </w:rPr>
        <w:t> </w:t>
      </w:r>
      <w:r>
        <w:rPr>
          <w:i/>
          <w:spacing w:val="-2"/>
          <w:sz w:val="20"/>
        </w:rPr>
        <w:t>employer:</w:t>
      </w:r>
    </w:p>
    <w:p>
      <w:pPr>
        <w:pStyle w:val="BodyText"/>
        <w:spacing w:before="118"/>
        <w:ind w:left="115" w:right="567"/>
      </w:pPr>
      <w:r>
        <w:rPr/>
        <w:t>An entity contracted by DEWR under the PALM Scheme Deed. Employers can be direct employers (arranges the placement of PALM scheme workers it employs with its own business) or Labour Hire organisations</w:t>
      </w:r>
      <w:r>
        <w:rPr>
          <w:spacing w:val="-3"/>
        </w:rPr>
        <w:t> </w:t>
      </w:r>
      <w:r>
        <w:rPr/>
        <w:t>arranges</w:t>
      </w:r>
      <w:r>
        <w:rPr>
          <w:spacing w:val="-4"/>
        </w:rPr>
        <w:t> </w:t>
      </w:r>
      <w:r>
        <w:rPr/>
        <w:t>the</w:t>
      </w:r>
      <w:r>
        <w:rPr>
          <w:spacing w:val="-2"/>
        </w:rPr>
        <w:t> </w:t>
      </w:r>
      <w:r>
        <w:rPr/>
        <w:t>placement</w:t>
      </w:r>
      <w:r>
        <w:rPr>
          <w:spacing w:val="-4"/>
        </w:rPr>
        <w:t> </w:t>
      </w:r>
      <w:r>
        <w:rPr/>
        <w:t>of</w:t>
      </w:r>
      <w:r>
        <w:rPr>
          <w:spacing w:val="-3"/>
        </w:rPr>
        <w:t> </w:t>
      </w:r>
      <w:r>
        <w:rPr/>
        <w:t>PALM</w:t>
      </w:r>
      <w:r>
        <w:rPr>
          <w:spacing w:val="-1"/>
        </w:rPr>
        <w:t> </w:t>
      </w:r>
      <w:r>
        <w:rPr/>
        <w:t>scheme</w:t>
      </w:r>
      <w:r>
        <w:rPr>
          <w:spacing w:val="-2"/>
        </w:rPr>
        <w:t> </w:t>
      </w:r>
      <w:r>
        <w:rPr/>
        <w:t>workers</w:t>
      </w:r>
      <w:r>
        <w:rPr>
          <w:spacing w:val="-3"/>
        </w:rPr>
        <w:t> </w:t>
      </w:r>
      <w:r>
        <w:rPr/>
        <w:t>it</w:t>
      </w:r>
      <w:r>
        <w:rPr>
          <w:spacing w:val="-4"/>
        </w:rPr>
        <w:t> </w:t>
      </w:r>
      <w:r>
        <w:rPr/>
        <w:t>employs</w:t>
      </w:r>
      <w:r>
        <w:rPr>
          <w:spacing w:val="-3"/>
        </w:rPr>
        <w:t> </w:t>
      </w:r>
      <w:r>
        <w:rPr/>
        <w:t>with</w:t>
      </w:r>
      <w:r>
        <w:rPr>
          <w:spacing w:val="-4"/>
        </w:rPr>
        <w:t> </w:t>
      </w:r>
      <w:r>
        <w:rPr/>
        <w:t>host</w:t>
      </w:r>
      <w:r>
        <w:rPr>
          <w:spacing w:val="-4"/>
        </w:rPr>
        <w:t> </w:t>
      </w:r>
      <w:r>
        <w:rPr/>
        <w:t>organisations</w:t>
      </w:r>
      <w:r>
        <w:rPr>
          <w:spacing w:val="-3"/>
        </w:rPr>
        <w:t> </w:t>
      </w:r>
      <w:r>
        <w:rPr/>
        <w:t>using</w:t>
      </w:r>
      <w:r>
        <w:rPr>
          <w:spacing w:val="-3"/>
        </w:rPr>
        <w:t> </w:t>
      </w:r>
      <w:r>
        <w:rPr/>
        <w:t>a labour hire arrangement.</w:t>
      </w:r>
    </w:p>
    <w:p>
      <w:pPr>
        <w:pStyle w:val="BodyText"/>
      </w:pPr>
    </w:p>
    <w:p>
      <w:pPr>
        <w:spacing w:before="1"/>
        <w:ind w:left="115" w:right="0" w:firstLine="0"/>
        <w:jc w:val="left"/>
        <w:rPr>
          <w:i/>
          <w:sz w:val="20"/>
        </w:rPr>
      </w:pPr>
      <w:r>
        <w:rPr>
          <w:i/>
          <w:sz w:val="20"/>
        </w:rPr>
        <w:t>Country</w:t>
      </w:r>
      <w:r>
        <w:rPr>
          <w:i/>
          <w:spacing w:val="-6"/>
          <w:sz w:val="20"/>
        </w:rPr>
        <w:t> </w:t>
      </w:r>
      <w:r>
        <w:rPr>
          <w:i/>
          <w:sz w:val="20"/>
        </w:rPr>
        <w:t>of</w:t>
      </w:r>
      <w:r>
        <w:rPr>
          <w:i/>
          <w:spacing w:val="-7"/>
          <w:sz w:val="20"/>
        </w:rPr>
        <w:t> </w:t>
      </w:r>
      <w:r>
        <w:rPr>
          <w:i/>
          <w:spacing w:val="-2"/>
          <w:sz w:val="20"/>
        </w:rPr>
        <w:t>origin:</w:t>
      </w:r>
    </w:p>
    <w:p>
      <w:pPr>
        <w:pStyle w:val="BodyText"/>
        <w:spacing w:before="120"/>
        <w:ind w:left="115" w:right="567"/>
      </w:pPr>
      <w:r>
        <w:rPr/>
        <w:t>PALM</w:t>
      </w:r>
      <w:r>
        <w:rPr>
          <w:spacing w:val="-4"/>
        </w:rPr>
        <w:t> </w:t>
      </w:r>
      <w:r>
        <w:rPr/>
        <w:t>scheme</w:t>
      </w:r>
      <w:r>
        <w:rPr>
          <w:spacing w:val="-4"/>
        </w:rPr>
        <w:t> </w:t>
      </w:r>
      <w:r>
        <w:rPr/>
        <w:t>participating</w:t>
      </w:r>
      <w:r>
        <w:rPr>
          <w:spacing w:val="-2"/>
        </w:rPr>
        <w:t> </w:t>
      </w:r>
      <w:r>
        <w:rPr/>
        <w:t>country</w:t>
      </w:r>
      <w:r>
        <w:rPr>
          <w:spacing w:val="-4"/>
        </w:rPr>
        <w:t> </w:t>
      </w:r>
      <w:r>
        <w:rPr/>
        <w:t>that</w:t>
      </w:r>
      <w:r>
        <w:rPr>
          <w:spacing w:val="-4"/>
        </w:rPr>
        <w:t> </w:t>
      </w:r>
      <w:r>
        <w:rPr/>
        <w:t>a</w:t>
      </w:r>
      <w:r>
        <w:rPr>
          <w:spacing w:val="-1"/>
        </w:rPr>
        <w:t> </w:t>
      </w:r>
      <w:r>
        <w:rPr/>
        <w:t>PALM</w:t>
      </w:r>
      <w:r>
        <w:rPr>
          <w:spacing w:val="-4"/>
        </w:rPr>
        <w:t> </w:t>
      </w:r>
      <w:r>
        <w:rPr/>
        <w:t>scheme</w:t>
      </w:r>
      <w:r>
        <w:rPr>
          <w:spacing w:val="-4"/>
        </w:rPr>
        <w:t> </w:t>
      </w:r>
      <w:r>
        <w:rPr/>
        <w:t>worker</w:t>
      </w:r>
      <w:r>
        <w:rPr>
          <w:spacing w:val="-4"/>
        </w:rPr>
        <w:t> </w:t>
      </w:r>
      <w:r>
        <w:rPr/>
        <w:t>is</w:t>
      </w:r>
      <w:r>
        <w:rPr>
          <w:spacing w:val="-3"/>
        </w:rPr>
        <w:t> </w:t>
      </w:r>
      <w:r>
        <w:rPr/>
        <w:t>from.</w:t>
      </w:r>
      <w:r>
        <w:rPr>
          <w:spacing w:val="-3"/>
        </w:rPr>
        <w:t> </w:t>
      </w:r>
      <w:r>
        <w:rPr/>
        <w:t>PALM</w:t>
      </w:r>
      <w:r>
        <w:rPr>
          <w:spacing w:val="-4"/>
        </w:rPr>
        <w:t> </w:t>
      </w:r>
      <w:r>
        <w:rPr/>
        <w:t>scheme</w:t>
      </w:r>
      <w:r>
        <w:rPr>
          <w:spacing w:val="-4"/>
        </w:rPr>
        <w:t> </w:t>
      </w:r>
      <w:r>
        <w:rPr/>
        <w:t>participating countries are:</w:t>
      </w:r>
    </w:p>
    <w:p>
      <w:pPr>
        <w:pStyle w:val="ListParagraph"/>
        <w:numPr>
          <w:ilvl w:val="1"/>
          <w:numId w:val="3"/>
        </w:numPr>
        <w:tabs>
          <w:tab w:pos="1555" w:val="left" w:leader="none"/>
        </w:tabs>
        <w:spacing w:line="231" w:lineRule="exact" w:before="0" w:after="0"/>
        <w:ind w:left="1555" w:right="0" w:hanging="732"/>
        <w:jc w:val="left"/>
        <w:rPr>
          <w:sz w:val="20"/>
        </w:rPr>
      </w:pPr>
      <w:r>
        <w:rPr>
          <w:spacing w:val="-4"/>
          <w:sz w:val="20"/>
        </w:rPr>
        <w:t>Fiji</w:t>
      </w:r>
    </w:p>
    <w:p>
      <w:pPr>
        <w:pStyle w:val="ListParagraph"/>
        <w:numPr>
          <w:ilvl w:val="1"/>
          <w:numId w:val="3"/>
        </w:numPr>
        <w:tabs>
          <w:tab w:pos="1555" w:val="left" w:leader="none"/>
        </w:tabs>
        <w:spacing w:line="240" w:lineRule="auto" w:before="1" w:after="0"/>
        <w:ind w:left="1555" w:right="0" w:hanging="732"/>
        <w:jc w:val="left"/>
        <w:rPr>
          <w:sz w:val="20"/>
        </w:rPr>
      </w:pPr>
      <w:r>
        <w:rPr>
          <w:spacing w:val="-2"/>
          <w:sz w:val="20"/>
        </w:rPr>
        <w:t>Kiribati</w:t>
      </w:r>
    </w:p>
    <w:p>
      <w:pPr>
        <w:pStyle w:val="ListParagraph"/>
        <w:numPr>
          <w:ilvl w:val="1"/>
          <w:numId w:val="3"/>
        </w:numPr>
        <w:tabs>
          <w:tab w:pos="1555" w:val="left" w:leader="none"/>
        </w:tabs>
        <w:spacing w:line="240" w:lineRule="auto" w:before="0" w:after="0"/>
        <w:ind w:left="1555" w:right="0" w:hanging="732"/>
        <w:jc w:val="left"/>
        <w:rPr>
          <w:sz w:val="20"/>
        </w:rPr>
      </w:pPr>
      <w:r>
        <w:rPr>
          <w:spacing w:val="-2"/>
          <w:sz w:val="20"/>
        </w:rPr>
        <w:t>Nauru</w:t>
      </w:r>
    </w:p>
    <w:p>
      <w:pPr>
        <w:pStyle w:val="ListParagraph"/>
        <w:numPr>
          <w:ilvl w:val="1"/>
          <w:numId w:val="3"/>
        </w:numPr>
        <w:tabs>
          <w:tab w:pos="1555" w:val="left" w:leader="none"/>
        </w:tabs>
        <w:spacing w:line="240" w:lineRule="auto" w:before="1" w:after="0"/>
        <w:ind w:left="1555" w:right="0" w:hanging="732"/>
        <w:jc w:val="left"/>
        <w:rPr>
          <w:sz w:val="20"/>
        </w:rPr>
      </w:pPr>
      <w:r>
        <w:rPr>
          <w:sz w:val="20"/>
        </w:rPr>
        <w:t>Papua</w:t>
      </w:r>
      <w:r>
        <w:rPr>
          <w:spacing w:val="-7"/>
          <w:sz w:val="20"/>
        </w:rPr>
        <w:t> </w:t>
      </w:r>
      <w:r>
        <w:rPr>
          <w:sz w:val="20"/>
        </w:rPr>
        <w:t>New</w:t>
      </w:r>
      <w:r>
        <w:rPr>
          <w:spacing w:val="-7"/>
          <w:sz w:val="20"/>
        </w:rPr>
        <w:t> </w:t>
      </w:r>
      <w:r>
        <w:rPr>
          <w:spacing w:val="-2"/>
          <w:sz w:val="20"/>
        </w:rPr>
        <w:t>Guinea</w:t>
      </w:r>
    </w:p>
    <w:p>
      <w:pPr>
        <w:pStyle w:val="ListParagraph"/>
        <w:numPr>
          <w:ilvl w:val="1"/>
          <w:numId w:val="3"/>
        </w:numPr>
        <w:tabs>
          <w:tab w:pos="1555" w:val="left" w:leader="none"/>
        </w:tabs>
        <w:spacing w:line="231" w:lineRule="exact" w:before="0" w:after="0"/>
        <w:ind w:left="1555" w:right="0" w:hanging="732"/>
        <w:jc w:val="left"/>
        <w:rPr>
          <w:sz w:val="20"/>
        </w:rPr>
      </w:pPr>
      <w:r>
        <w:rPr>
          <w:spacing w:val="-2"/>
          <w:sz w:val="20"/>
        </w:rPr>
        <w:t>Samoa</w:t>
      </w:r>
    </w:p>
    <w:p>
      <w:pPr>
        <w:pStyle w:val="ListParagraph"/>
        <w:numPr>
          <w:ilvl w:val="1"/>
          <w:numId w:val="3"/>
        </w:numPr>
        <w:tabs>
          <w:tab w:pos="1555" w:val="left" w:leader="none"/>
        </w:tabs>
        <w:spacing w:line="231" w:lineRule="exact" w:before="0" w:after="0"/>
        <w:ind w:left="1555" w:right="0" w:hanging="732"/>
        <w:jc w:val="left"/>
        <w:rPr>
          <w:sz w:val="20"/>
        </w:rPr>
      </w:pPr>
      <w:r>
        <w:rPr>
          <w:sz w:val="20"/>
        </w:rPr>
        <w:t>Solomon</w:t>
      </w:r>
      <w:r>
        <w:rPr>
          <w:spacing w:val="-7"/>
          <w:sz w:val="20"/>
        </w:rPr>
        <w:t> </w:t>
      </w:r>
      <w:r>
        <w:rPr>
          <w:spacing w:val="-2"/>
          <w:sz w:val="20"/>
        </w:rPr>
        <w:t>Islands</w:t>
      </w:r>
    </w:p>
    <w:p>
      <w:pPr>
        <w:pStyle w:val="ListParagraph"/>
        <w:numPr>
          <w:ilvl w:val="1"/>
          <w:numId w:val="3"/>
        </w:numPr>
        <w:tabs>
          <w:tab w:pos="1555" w:val="left" w:leader="none"/>
        </w:tabs>
        <w:spacing w:line="240" w:lineRule="auto" w:before="1" w:after="0"/>
        <w:ind w:left="1555" w:right="0" w:hanging="732"/>
        <w:jc w:val="left"/>
        <w:rPr>
          <w:sz w:val="20"/>
        </w:rPr>
      </w:pPr>
      <w:r>
        <w:rPr>
          <w:spacing w:val="-2"/>
          <w:sz w:val="20"/>
        </w:rPr>
        <w:t>Timor-</w:t>
      </w:r>
      <w:r>
        <w:rPr>
          <w:spacing w:val="-4"/>
          <w:sz w:val="20"/>
        </w:rPr>
        <w:t>Leste</w:t>
      </w:r>
    </w:p>
    <w:p>
      <w:pPr>
        <w:pStyle w:val="ListParagraph"/>
        <w:numPr>
          <w:ilvl w:val="1"/>
          <w:numId w:val="3"/>
        </w:numPr>
        <w:tabs>
          <w:tab w:pos="1555" w:val="left" w:leader="none"/>
        </w:tabs>
        <w:spacing w:line="240" w:lineRule="auto" w:before="1" w:after="0"/>
        <w:ind w:left="1555" w:right="0" w:hanging="732"/>
        <w:jc w:val="left"/>
        <w:rPr>
          <w:sz w:val="20"/>
        </w:rPr>
      </w:pPr>
      <w:r>
        <w:rPr>
          <w:spacing w:val="-2"/>
          <w:sz w:val="20"/>
        </w:rPr>
        <w:t>Tonga</w:t>
      </w:r>
    </w:p>
    <w:p>
      <w:pPr>
        <w:pStyle w:val="ListParagraph"/>
        <w:numPr>
          <w:ilvl w:val="1"/>
          <w:numId w:val="3"/>
        </w:numPr>
        <w:tabs>
          <w:tab w:pos="1555" w:val="left" w:leader="none"/>
        </w:tabs>
        <w:spacing w:line="232" w:lineRule="exact" w:before="0" w:after="0"/>
        <w:ind w:left="1555" w:right="0" w:hanging="732"/>
        <w:jc w:val="left"/>
        <w:rPr>
          <w:sz w:val="20"/>
        </w:rPr>
      </w:pPr>
      <w:r>
        <w:rPr>
          <w:spacing w:val="-2"/>
          <w:sz w:val="20"/>
        </w:rPr>
        <w:t>Tuvalu</w:t>
      </w:r>
    </w:p>
    <w:p>
      <w:pPr>
        <w:pStyle w:val="ListParagraph"/>
        <w:numPr>
          <w:ilvl w:val="1"/>
          <w:numId w:val="3"/>
        </w:numPr>
        <w:tabs>
          <w:tab w:pos="1555" w:val="left" w:leader="none"/>
        </w:tabs>
        <w:spacing w:line="232" w:lineRule="exact" w:before="0" w:after="0"/>
        <w:ind w:left="1555" w:right="0" w:hanging="732"/>
        <w:jc w:val="left"/>
        <w:rPr>
          <w:sz w:val="20"/>
        </w:rPr>
      </w:pPr>
      <w:r>
        <w:rPr>
          <w:spacing w:val="-2"/>
          <w:sz w:val="20"/>
        </w:rPr>
        <w:t>Vanuatu.</w:t>
      </w:r>
    </w:p>
    <w:p>
      <w:pPr>
        <w:pStyle w:val="BodyText"/>
        <w:spacing w:before="1"/>
      </w:pPr>
    </w:p>
    <w:p>
      <w:pPr>
        <w:pStyle w:val="BodyText"/>
        <w:ind w:left="115"/>
      </w:pPr>
      <w:r>
        <w:rPr/>
        <w:t>‘Unknown’</w:t>
      </w:r>
      <w:r>
        <w:rPr>
          <w:spacing w:val="-6"/>
        </w:rPr>
        <w:t> </w:t>
      </w:r>
      <w:r>
        <w:rPr/>
        <w:t>country</w:t>
      </w:r>
      <w:r>
        <w:rPr>
          <w:spacing w:val="-7"/>
        </w:rPr>
        <w:t> </w:t>
      </w:r>
      <w:r>
        <w:rPr/>
        <w:t>of</w:t>
      </w:r>
      <w:r>
        <w:rPr>
          <w:spacing w:val="-5"/>
        </w:rPr>
        <w:t> </w:t>
      </w:r>
      <w:r>
        <w:rPr/>
        <w:t>origin</w:t>
      </w:r>
      <w:r>
        <w:rPr>
          <w:spacing w:val="-7"/>
        </w:rPr>
        <w:t> </w:t>
      </w:r>
      <w:r>
        <w:rPr/>
        <w:t>is</w:t>
      </w:r>
      <w:r>
        <w:rPr>
          <w:spacing w:val="-6"/>
        </w:rPr>
        <w:t> </w:t>
      </w:r>
      <w:r>
        <w:rPr/>
        <w:t>where</w:t>
      </w:r>
      <w:r>
        <w:rPr>
          <w:spacing w:val="-6"/>
        </w:rPr>
        <w:t> </w:t>
      </w:r>
      <w:r>
        <w:rPr/>
        <w:t>country</w:t>
      </w:r>
      <w:r>
        <w:rPr>
          <w:spacing w:val="-7"/>
        </w:rPr>
        <w:t> </w:t>
      </w:r>
      <w:r>
        <w:rPr/>
        <w:t>of</w:t>
      </w:r>
      <w:r>
        <w:rPr>
          <w:spacing w:val="-5"/>
        </w:rPr>
        <w:t> </w:t>
      </w:r>
      <w:r>
        <w:rPr/>
        <w:t>origin</w:t>
      </w:r>
      <w:r>
        <w:rPr>
          <w:spacing w:val="-8"/>
        </w:rPr>
        <w:t> </w:t>
      </w:r>
      <w:r>
        <w:rPr/>
        <w:t>cannot</w:t>
      </w:r>
      <w:r>
        <w:rPr>
          <w:spacing w:val="-6"/>
        </w:rPr>
        <w:t> </w:t>
      </w:r>
      <w:r>
        <w:rPr/>
        <w:t>be</w:t>
      </w:r>
      <w:r>
        <w:rPr>
          <w:spacing w:val="-7"/>
        </w:rPr>
        <w:t> </w:t>
      </w:r>
      <w:r>
        <w:rPr/>
        <w:t>determined</w:t>
      </w:r>
      <w:r>
        <w:rPr>
          <w:spacing w:val="-6"/>
        </w:rPr>
        <w:t> </w:t>
      </w:r>
      <w:r>
        <w:rPr/>
        <w:t>for</w:t>
      </w:r>
      <w:r>
        <w:rPr>
          <w:spacing w:val="-7"/>
        </w:rPr>
        <w:t> </w:t>
      </w:r>
      <w:r>
        <w:rPr/>
        <w:t>a</w:t>
      </w:r>
      <w:r>
        <w:rPr>
          <w:spacing w:val="-5"/>
        </w:rPr>
        <w:t> </w:t>
      </w:r>
      <w:r>
        <w:rPr/>
        <w:t>PALM</w:t>
      </w:r>
      <w:r>
        <w:rPr>
          <w:spacing w:val="-7"/>
        </w:rPr>
        <w:t> </w:t>
      </w:r>
      <w:r>
        <w:rPr/>
        <w:t>scheme</w:t>
      </w:r>
      <w:r>
        <w:rPr>
          <w:spacing w:val="-6"/>
        </w:rPr>
        <w:t> </w:t>
      </w:r>
      <w:r>
        <w:rPr>
          <w:spacing w:val="-2"/>
        </w:rPr>
        <w:t>worker</w:t>
      </w:r>
    </w:p>
    <w:p>
      <w:pPr>
        <w:pStyle w:val="BodyText"/>
        <w:spacing w:before="1"/>
        <w:ind w:left="115"/>
      </w:pPr>
      <w:r>
        <w:rPr/>
        <w:t>due</w:t>
      </w:r>
      <w:r>
        <w:rPr>
          <w:spacing w:val="-6"/>
        </w:rPr>
        <w:t> </w:t>
      </w:r>
      <w:r>
        <w:rPr/>
        <w:t>to</w:t>
      </w:r>
      <w:r>
        <w:rPr>
          <w:spacing w:val="-6"/>
        </w:rPr>
        <w:t> </w:t>
      </w:r>
      <w:r>
        <w:rPr/>
        <w:t>incomplete</w:t>
      </w:r>
      <w:r>
        <w:rPr>
          <w:spacing w:val="-8"/>
        </w:rPr>
        <w:t> </w:t>
      </w:r>
      <w:r>
        <w:rPr>
          <w:spacing w:val="-4"/>
        </w:rPr>
        <w:t>data.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3"/>
        <w:rPr>
          <w:sz w:val="16"/>
        </w:rPr>
      </w:pPr>
    </w:p>
    <w:p>
      <w:pPr>
        <w:spacing w:line="185" w:lineRule="exact" w:before="0"/>
        <w:ind w:left="9472" w:right="0" w:firstLine="0"/>
        <w:jc w:val="left"/>
        <w:rPr>
          <w:sz w:val="16"/>
        </w:rPr>
      </w:pPr>
      <w:r>
        <w:rPr>
          <w:color w:val="242A82"/>
          <w:spacing w:val="-5"/>
          <w:sz w:val="16"/>
        </w:rPr>
        <w:t>14</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p>
      <w:pPr>
        <w:spacing w:after="0" w:line="185" w:lineRule="exact"/>
        <w:jc w:val="left"/>
        <w:rPr>
          <w:sz w:val="16"/>
        </w:rPr>
        <w:sectPr>
          <w:pgSz w:w="11910" w:h="16840"/>
          <w:pgMar w:top="1140" w:bottom="280" w:left="1133" w:right="566"/>
        </w:sectPr>
      </w:pPr>
    </w:p>
    <w:p>
      <w:pPr>
        <w:spacing w:before="89"/>
        <w:ind w:left="115" w:right="0" w:firstLine="0"/>
        <w:jc w:val="left"/>
        <w:rPr>
          <w:sz w:val="20"/>
        </w:rPr>
      </w:pPr>
      <w:r>
        <w:rPr>
          <w:sz w:val="20"/>
        </w:rPr>
        <w:drawing>
          <wp:anchor distT="0" distB="0" distL="0" distR="0" allowOverlap="1" layoutInCell="1" locked="0" behindDoc="1" simplePos="0" relativeHeight="487241728">
            <wp:simplePos x="0" y="0"/>
            <wp:positionH relativeFrom="page">
              <wp:posOffset>0</wp:posOffset>
            </wp:positionH>
            <wp:positionV relativeFrom="page">
              <wp:posOffset>60</wp:posOffset>
            </wp:positionV>
            <wp:extent cx="7560564" cy="10657459"/>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7560564" cy="10657459"/>
                    </a:xfrm>
                    <a:prstGeom prst="rect">
                      <a:avLst/>
                    </a:prstGeom>
                  </pic:spPr>
                </pic:pic>
              </a:graphicData>
            </a:graphic>
          </wp:anchor>
        </w:drawing>
      </w:r>
      <w:r>
        <w:rPr>
          <w:i/>
          <w:spacing w:val="-2"/>
          <w:sz w:val="20"/>
        </w:rPr>
        <w:t>Stream</w:t>
      </w:r>
      <w:r>
        <w:rPr>
          <w:spacing w:val="-2"/>
          <w:sz w:val="20"/>
        </w:rPr>
        <w:t>:</w:t>
      </w:r>
    </w:p>
    <w:p>
      <w:pPr>
        <w:pStyle w:val="BodyText"/>
        <w:spacing w:before="118"/>
        <w:ind w:left="115"/>
      </w:pPr>
      <w:r>
        <w:rPr/>
        <w:t>Length</w:t>
      </w:r>
      <w:r>
        <w:rPr>
          <w:spacing w:val="-9"/>
        </w:rPr>
        <w:t> </w:t>
      </w:r>
      <w:r>
        <w:rPr/>
        <w:t>of</w:t>
      </w:r>
      <w:r>
        <w:rPr>
          <w:spacing w:val="-6"/>
        </w:rPr>
        <w:t> </w:t>
      </w:r>
      <w:r>
        <w:rPr/>
        <w:t>placement</w:t>
      </w:r>
      <w:r>
        <w:rPr>
          <w:spacing w:val="-7"/>
        </w:rPr>
        <w:t> </w:t>
      </w:r>
      <w:r>
        <w:rPr/>
        <w:t>of</w:t>
      </w:r>
      <w:r>
        <w:rPr>
          <w:spacing w:val="-6"/>
        </w:rPr>
        <w:t> </w:t>
      </w:r>
      <w:r>
        <w:rPr/>
        <w:t>employed</w:t>
      </w:r>
      <w:r>
        <w:rPr>
          <w:spacing w:val="-8"/>
        </w:rPr>
        <w:t> </w:t>
      </w:r>
      <w:r>
        <w:rPr/>
        <w:t>PALM</w:t>
      </w:r>
      <w:r>
        <w:rPr>
          <w:spacing w:val="-8"/>
        </w:rPr>
        <w:t> </w:t>
      </w:r>
      <w:r>
        <w:rPr/>
        <w:t>scheme</w:t>
      </w:r>
      <w:r>
        <w:rPr>
          <w:spacing w:val="-7"/>
        </w:rPr>
        <w:t> </w:t>
      </w:r>
      <w:r>
        <w:rPr/>
        <w:t>workers.</w:t>
      </w:r>
      <w:r>
        <w:rPr>
          <w:spacing w:val="-6"/>
        </w:rPr>
        <w:t> </w:t>
      </w:r>
      <w:r>
        <w:rPr/>
        <w:t>This</w:t>
      </w:r>
      <w:r>
        <w:rPr>
          <w:spacing w:val="-7"/>
        </w:rPr>
        <w:t> </w:t>
      </w:r>
      <w:r>
        <w:rPr/>
        <w:t>is either</w:t>
      </w:r>
      <w:r>
        <w:rPr>
          <w:spacing w:val="-9"/>
        </w:rPr>
        <w:t> </w:t>
      </w:r>
      <w:r>
        <w:rPr/>
        <w:t>'short-term'</w:t>
      </w:r>
      <w:r>
        <w:rPr>
          <w:spacing w:val="-7"/>
        </w:rPr>
        <w:t> </w:t>
      </w:r>
      <w:r>
        <w:rPr/>
        <w:t>or</w:t>
      </w:r>
      <w:r>
        <w:rPr>
          <w:spacing w:val="-7"/>
        </w:rPr>
        <w:t> </w:t>
      </w:r>
      <w:r>
        <w:rPr/>
        <w:t>'long-</w:t>
      </w:r>
      <w:r>
        <w:rPr>
          <w:spacing w:val="-2"/>
        </w:rPr>
        <w:t>term':</w:t>
      </w:r>
    </w:p>
    <w:p>
      <w:pPr>
        <w:pStyle w:val="ListParagraph"/>
        <w:numPr>
          <w:ilvl w:val="0"/>
          <w:numId w:val="3"/>
        </w:numPr>
        <w:tabs>
          <w:tab w:pos="835" w:val="left" w:leader="none"/>
        </w:tabs>
        <w:spacing w:line="240" w:lineRule="auto" w:before="2" w:after="0"/>
        <w:ind w:left="835" w:right="800" w:hanging="360"/>
        <w:jc w:val="left"/>
        <w:rPr>
          <w:sz w:val="20"/>
        </w:rPr>
      </w:pPr>
      <w:r>
        <w:rPr>
          <w:i/>
          <w:sz w:val="20"/>
        </w:rPr>
        <w:t>Short-term</w:t>
      </w:r>
      <w:r>
        <w:rPr>
          <w:sz w:val="20"/>
        </w:rPr>
        <w:t>:</w:t>
      </w:r>
      <w:r>
        <w:rPr>
          <w:spacing w:val="-3"/>
          <w:sz w:val="20"/>
        </w:rPr>
        <w:t> </w:t>
      </w:r>
      <w:r>
        <w:rPr>
          <w:sz w:val="20"/>
        </w:rPr>
        <w:t>a</w:t>
      </w:r>
      <w:r>
        <w:rPr>
          <w:spacing w:val="-2"/>
          <w:sz w:val="20"/>
        </w:rPr>
        <w:t> </w:t>
      </w:r>
      <w:r>
        <w:rPr>
          <w:sz w:val="20"/>
        </w:rPr>
        <w:t>placement</w:t>
      </w:r>
      <w:r>
        <w:rPr>
          <w:spacing w:val="-4"/>
          <w:sz w:val="20"/>
        </w:rPr>
        <w:t> </w:t>
      </w:r>
      <w:r>
        <w:rPr>
          <w:sz w:val="20"/>
        </w:rPr>
        <w:t>with</w:t>
      </w:r>
      <w:r>
        <w:rPr>
          <w:spacing w:val="-4"/>
          <w:sz w:val="20"/>
        </w:rPr>
        <w:t> </w:t>
      </w:r>
      <w:r>
        <w:rPr>
          <w:sz w:val="20"/>
        </w:rPr>
        <w:t>short-term</w:t>
      </w:r>
      <w:r>
        <w:rPr>
          <w:spacing w:val="-4"/>
          <w:sz w:val="20"/>
        </w:rPr>
        <w:t> </w:t>
      </w:r>
      <w:r>
        <w:rPr>
          <w:sz w:val="20"/>
        </w:rPr>
        <w:t>PALM</w:t>
      </w:r>
      <w:r>
        <w:rPr>
          <w:spacing w:val="-4"/>
          <w:sz w:val="20"/>
        </w:rPr>
        <w:t> </w:t>
      </w:r>
      <w:r>
        <w:rPr>
          <w:sz w:val="20"/>
        </w:rPr>
        <w:t>scheme</w:t>
      </w:r>
      <w:r>
        <w:rPr>
          <w:spacing w:val="-4"/>
          <w:sz w:val="20"/>
        </w:rPr>
        <w:t> </w:t>
      </w:r>
      <w:r>
        <w:rPr>
          <w:sz w:val="20"/>
        </w:rPr>
        <w:t>workers</w:t>
      </w:r>
      <w:r>
        <w:rPr>
          <w:spacing w:val="-3"/>
          <w:sz w:val="20"/>
        </w:rPr>
        <w:t> </w:t>
      </w:r>
      <w:r>
        <w:rPr>
          <w:sz w:val="20"/>
        </w:rPr>
        <w:t>who</w:t>
      </w:r>
      <w:r>
        <w:rPr>
          <w:spacing w:val="-3"/>
          <w:sz w:val="20"/>
        </w:rPr>
        <w:t> </w:t>
      </w:r>
      <w:r>
        <w:rPr>
          <w:sz w:val="20"/>
        </w:rPr>
        <w:t>hold</w:t>
      </w:r>
      <w:r>
        <w:rPr>
          <w:spacing w:val="-4"/>
          <w:sz w:val="20"/>
        </w:rPr>
        <w:t> </w:t>
      </w:r>
      <w:r>
        <w:rPr>
          <w:sz w:val="20"/>
        </w:rPr>
        <w:t>the</w:t>
      </w:r>
      <w:r>
        <w:rPr>
          <w:spacing w:val="-2"/>
          <w:sz w:val="20"/>
        </w:rPr>
        <w:t> </w:t>
      </w:r>
      <w:r>
        <w:rPr>
          <w:sz w:val="20"/>
        </w:rPr>
        <w:t>relevant</w:t>
      </w:r>
      <w:r>
        <w:rPr>
          <w:spacing w:val="-4"/>
          <w:sz w:val="20"/>
        </w:rPr>
        <w:t> </w:t>
      </w:r>
      <w:r>
        <w:rPr>
          <w:sz w:val="20"/>
        </w:rPr>
        <w:t>visa</w:t>
      </w:r>
      <w:r>
        <w:rPr>
          <w:spacing w:val="-3"/>
          <w:sz w:val="20"/>
        </w:rPr>
        <w:t> </w:t>
      </w:r>
      <w:r>
        <w:rPr>
          <w:sz w:val="20"/>
        </w:rPr>
        <w:t>and are employed in a contract of work for up to 9 months.</w:t>
      </w:r>
    </w:p>
    <w:p>
      <w:pPr>
        <w:pStyle w:val="ListParagraph"/>
        <w:numPr>
          <w:ilvl w:val="0"/>
          <w:numId w:val="3"/>
        </w:numPr>
        <w:tabs>
          <w:tab w:pos="835" w:val="left" w:leader="none"/>
        </w:tabs>
        <w:spacing w:line="240" w:lineRule="auto" w:before="0" w:after="0"/>
        <w:ind w:left="835" w:right="591" w:hanging="360"/>
        <w:jc w:val="left"/>
        <w:rPr>
          <w:sz w:val="20"/>
        </w:rPr>
      </w:pPr>
      <w:r>
        <w:rPr>
          <w:i/>
          <w:sz w:val="20"/>
        </w:rPr>
        <w:t>Long-term</w:t>
      </w:r>
      <w:r>
        <w:rPr>
          <w:sz w:val="20"/>
        </w:rPr>
        <w:t>:</w:t>
      </w:r>
      <w:r>
        <w:rPr>
          <w:spacing w:val="-3"/>
          <w:sz w:val="20"/>
        </w:rPr>
        <w:t> </w:t>
      </w:r>
      <w:r>
        <w:rPr>
          <w:sz w:val="20"/>
        </w:rPr>
        <w:t>a</w:t>
      </w:r>
      <w:r>
        <w:rPr>
          <w:spacing w:val="-2"/>
          <w:sz w:val="20"/>
        </w:rPr>
        <w:t> </w:t>
      </w:r>
      <w:r>
        <w:rPr>
          <w:sz w:val="20"/>
        </w:rPr>
        <w:t>placement</w:t>
      </w:r>
      <w:r>
        <w:rPr>
          <w:spacing w:val="-4"/>
          <w:sz w:val="20"/>
        </w:rPr>
        <w:t> </w:t>
      </w:r>
      <w:r>
        <w:rPr>
          <w:sz w:val="20"/>
        </w:rPr>
        <w:t>with</w:t>
      </w:r>
      <w:r>
        <w:rPr>
          <w:spacing w:val="-4"/>
          <w:sz w:val="20"/>
        </w:rPr>
        <w:t> </w:t>
      </w:r>
      <w:r>
        <w:rPr>
          <w:sz w:val="20"/>
        </w:rPr>
        <w:t>long-term</w:t>
      </w:r>
      <w:r>
        <w:rPr>
          <w:spacing w:val="-1"/>
          <w:sz w:val="20"/>
        </w:rPr>
        <w:t> </w:t>
      </w:r>
      <w:r>
        <w:rPr>
          <w:sz w:val="20"/>
        </w:rPr>
        <w:t>PALM</w:t>
      </w:r>
      <w:r>
        <w:rPr>
          <w:spacing w:val="-4"/>
          <w:sz w:val="20"/>
        </w:rPr>
        <w:t> </w:t>
      </w:r>
      <w:r>
        <w:rPr>
          <w:sz w:val="20"/>
        </w:rPr>
        <w:t>scheme</w:t>
      </w:r>
      <w:r>
        <w:rPr>
          <w:spacing w:val="-2"/>
          <w:sz w:val="20"/>
        </w:rPr>
        <w:t> </w:t>
      </w:r>
      <w:r>
        <w:rPr>
          <w:sz w:val="20"/>
        </w:rPr>
        <w:t>workers</w:t>
      </w:r>
      <w:r>
        <w:rPr>
          <w:spacing w:val="-3"/>
          <w:sz w:val="20"/>
        </w:rPr>
        <w:t> </w:t>
      </w:r>
      <w:r>
        <w:rPr>
          <w:sz w:val="20"/>
        </w:rPr>
        <w:t>who</w:t>
      </w:r>
      <w:r>
        <w:rPr>
          <w:spacing w:val="-3"/>
          <w:sz w:val="20"/>
        </w:rPr>
        <w:t> </w:t>
      </w:r>
      <w:r>
        <w:rPr>
          <w:sz w:val="20"/>
        </w:rPr>
        <w:t>hold</w:t>
      </w:r>
      <w:r>
        <w:rPr>
          <w:spacing w:val="-4"/>
          <w:sz w:val="20"/>
        </w:rPr>
        <w:t> </w:t>
      </w:r>
      <w:r>
        <w:rPr>
          <w:sz w:val="20"/>
        </w:rPr>
        <w:t>the</w:t>
      </w:r>
      <w:r>
        <w:rPr>
          <w:spacing w:val="-4"/>
          <w:sz w:val="20"/>
        </w:rPr>
        <w:t> </w:t>
      </w:r>
      <w:r>
        <w:rPr>
          <w:sz w:val="20"/>
        </w:rPr>
        <w:t>relevant</w:t>
      </w:r>
      <w:r>
        <w:rPr>
          <w:spacing w:val="-4"/>
          <w:sz w:val="20"/>
        </w:rPr>
        <w:t> </w:t>
      </w:r>
      <w:r>
        <w:rPr>
          <w:sz w:val="20"/>
        </w:rPr>
        <w:t>visa</w:t>
      </w:r>
      <w:r>
        <w:rPr>
          <w:spacing w:val="-3"/>
          <w:sz w:val="20"/>
        </w:rPr>
        <w:t> </w:t>
      </w:r>
      <w:r>
        <w:rPr>
          <w:sz w:val="20"/>
        </w:rPr>
        <w:t>and</w:t>
      </w:r>
      <w:r>
        <w:rPr>
          <w:spacing w:val="-4"/>
          <w:sz w:val="20"/>
        </w:rPr>
        <w:t> </w:t>
      </w:r>
      <w:r>
        <w:rPr>
          <w:sz w:val="20"/>
        </w:rPr>
        <w:t>are employed in a contract of work for up to 4 years (non-seasonal).</w:t>
      </w:r>
    </w:p>
    <w:p>
      <w:pPr>
        <w:spacing w:before="231"/>
        <w:ind w:left="115" w:right="0" w:firstLine="0"/>
        <w:jc w:val="left"/>
        <w:rPr>
          <w:i/>
          <w:sz w:val="20"/>
        </w:rPr>
      </w:pPr>
      <w:r>
        <w:rPr>
          <w:i/>
          <w:spacing w:val="-2"/>
          <w:sz w:val="20"/>
        </w:rPr>
        <w:t>Industry:</w:t>
      </w:r>
    </w:p>
    <w:p>
      <w:pPr>
        <w:pStyle w:val="BodyText"/>
        <w:spacing w:before="121"/>
        <w:ind w:left="115" w:right="1321"/>
        <w:jc w:val="both"/>
      </w:pPr>
      <w:r>
        <w:rPr/>
        <w:t>Where</w:t>
      </w:r>
      <w:r>
        <w:rPr>
          <w:spacing w:val="-3"/>
        </w:rPr>
        <w:t> </w:t>
      </w:r>
      <w:r>
        <w:rPr/>
        <w:t>possible,</w:t>
      </w:r>
      <w:r>
        <w:rPr>
          <w:spacing w:val="-2"/>
        </w:rPr>
        <w:t> </w:t>
      </w:r>
      <w:r>
        <w:rPr/>
        <w:t>industries are</w:t>
      </w:r>
      <w:r>
        <w:rPr>
          <w:spacing w:val="-3"/>
        </w:rPr>
        <w:t> </w:t>
      </w:r>
      <w:r>
        <w:rPr/>
        <w:t>classified</w:t>
      </w:r>
      <w:r>
        <w:rPr>
          <w:spacing w:val="-4"/>
        </w:rPr>
        <w:t> </w:t>
      </w:r>
      <w:r>
        <w:rPr/>
        <w:t>to</w:t>
      </w:r>
      <w:r>
        <w:rPr>
          <w:spacing w:val="-2"/>
        </w:rPr>
        <w:t> </w:t>
      </w:r>
      <w:r>
        <w:rPr/>
        <w:t>the</w:t>
      </w:r>
      <w:r>
        <w:rPr>
          <w:spacing w:val="-4"/>
        </w:rPr>
        <w:t> </w:t>
      </w:r>
      <w:r>
        <w:rPr/>
        <w:t>Australian</w:t>
      </w:r>
      <w:r>
        <w:rPr>
          <w:spacing w:val="-4"/>
        </w:rPr>
        <w:t> </w:t>
      </w:r>
      <w:r>
        <w:rPr/>
        <w:t>Bureau</w:t>
      </w:r>
      <w:r>
        <w:rPr>
          <w:spacing w:val="-4"/>
        </w:rPr>
        <w:t> </w:t>
      </w:r>
      <w:r>
        <w:rPr/>
        <w:t>of</w:t>
      </w:r>
      <w:r>
        <w:rPr>
          <w:spacing w:val="-2"/>
        </w:rPr>
        <w:t> </w:t>
      </w:r>
      <w:r>
        <w:rPr/>
        <w:t>Statistics</w:t>
      </w:r>
      <w:r>
        <w:rPr>
          <w:spacing w:val="-2"/>
        </w:rPr>
        <w:t> </w:t>
      </w:r>
      <w:r>
        <w:rPr/>
        <w:t>Australian</w:t>
      </w:r>
      <w:r>
        <w:rPr>
          <w:spacing w:val="-4"/>
        </w:rPr>
        <w:t> </w:t>
      </w:r>
      <w:r>
        <w:rPr/>
        <w:t>and</w:t>
      </w:r>
      <w:r>
        <w:rPr>
          <w:spacing w:val="-3"/>
        </w:rPr>
        <w:t> </w:t>
      </w:r>
      <w:r>
        <w:rPr/>
        <w:t>New Zealand</w:t>
      </w:r>
      <w:r>
        <w:rPr>
          <w:spacing w:val="-4"/>
        </w:rPr>
        <w:t> </w:t>
      </w:r>
      <w:r>
        <w:rPr/>
        <w:t>Standard</w:t>
      </w:r>
      <w:r>
        <w:rPr>
          <w:spacing w:val="-4"/>
        </w:rPr>
        <w:t> </w:t>
      </w:r>
      <w:r>
        <w:rPr/>
        <w:t>Industrial</w:t>
      </w:r>
      <w:r>
        <w:rPr>
          <w:spacing w:val="-4"/>
        </w:rPr>
        <w:t> </w:t>
      </w:r>
      <w:r>
        <w:rPr/>
        <w:t>Classification</w:t>
      </w:r>
      <w:r>
        <w:rPr>
          <w:spacing w:val="-5"/>
        </w:rPr>
        <w:t> </w:t>
      </w:r>
      <w:r>
        <w:rPr/>
        <w:t>(ANZSIC).</w:t>
      </w:r>
      <w:r>
        <w:rPr>
          <w:spacing w:val="-4"/>
        </w:rPr>
        <w:t> </w:t>
      </w:r>
      <w:r>
        <w:rPr/>
        <w:t>An</w:t>
      </w:r>
      <w:r>
        <w:rPr>
          <w:spacing w:val="-5"/>
        </w:rPr>
        <w:t> </w:t>
      </w:r>
      <w:r>
        <w:rPr/>
        <w:t>individual</w:t>
      </w:r>
      <w:r>
        <w:rPr>
          <w:spacing w:val="-4"/>
        </w:rPr>
        <w:t> </w:t>
      </w:r>
      <w:r>
        <w:rPr/>
        <w:t>business</w:t>
      </w:r>
      <w:r>
        <w:rPr>
          <w:spacing w:val="-4"/>
        </w:rPr>
        <w:t> </w:t>
      </w:r>
      <w:r>
        <w:rPr/>
        <w:t>entity</w:t>
      </w:r>
      <w:r>
        <w:rPr>
          <w:spacing w:val="-2"/>
        </w:rPr>
        <w:t> </w:t>
      </w:r>
      <w:r>
        <w:rPr/>
        <w:t>is</w:t>
      </w:r>
      <w:r>
        <w:rPr>
          <w:spacing w:val="-4"/>
        </w:rPr>
        <w:t> </w:t>
      </w:r>
      <w:r>
        <w:rPr/>
        <w:t>assigned</w:t>
      </w:r>
      <w:r>
        <w:rPr>
          <w:spacing w:val="-5"/>
        </w:rPr>
        <w:t> </w:t>
      </w:r>
      <w:r>
        <w:rPr/>
        <w:t>to</w:t>
      </w:r>
      <w:r>
        <w:rPr>
          <w:spacing w:val="-4"/>
        </w:rPr>
        <w:t> </w:t>
      </w:r>
      <w:r>
        <w:rPr/>
        <w:t>an industry based on its predominant activity.</w:t>
      </w:r>
    </w:p>
    <w:p>
      <w:pPr>
        <w:pStyle w:val="BodyText"/>
      </w:pPr>
    </w:p>
    <w:p>
      <w:pPr>
        <w:pStyle w:val="BodyText"/>
        <w:spacing w:line="231" w:lineRule="exact"/>
        <w:ind w:left="115"/>
      </w:pPr>
      <w:r>
        <w:rPr/>
        <w:t>Due</w:t>
      </w:r>
      <w:r>
        <w:rPr>
          <w:spacing w:val="-8"/>
        </w:rPr>
        <w:t> </w:t>
      </w:r>
      <w:r>
        <w:rPr/>
        <w:t>to</w:t>
      </w:r>
      <w:r>
        <w:rPr>
          <w:spacing w:val="-5"/>
        </w:rPr>
        <w:t> </w:t>
      </w:r>
      <w:r>
        <w:rPr/>
        <w:t>gaps</w:t>
      </w:r>
      <w:r>
        <w:rPr>
          <w:spacing w:val="-7"/>
        </w:rPr>
        <w:t> </w:t>
      </w:r>
      <w:r>
        <w:rPr/>
        <w:t>in</w:t>
      </w:r>
      <w:r>
        <w:rPr>
          <w:spacing w:val="-4"/>
        </w:rPr>
        <w:t> </w:t>
      </w:r>
      <w:r>
        <w:rPr/>
        <w:t>data</w:t>
      </w:r>
      <w:r>
        <w:rPr>
          <w:spacing w:val="-6"/>
        </w:rPr>
        <w:t> </w:t>
      </w:r>
      <w:r>
        <w:rPr/>
        <w:t>sources,</w:t>
      </w:r>
      <w:r>
        <w:rPr>
          <w:spacing w:val="-5"/>
        </w:rPr>
        <w:t> </w:t>
      </w:r>
      <w:r>
        <w:rPr/>
        <w:t>a</w:t>
      </w:r>
      <w:r>
        <w:rPr>
          <w:spacing w:val="-6"/>
        </w:rPr>
        <w:t> </w:t>
      </w:r>
      <w:r>
        <w:rPr/>
        <w:t>best-fit</w:t>
      </w:r>
      <w:r>
        <w:rPr>
          <w:spacing w:val="-6"/>
        </w:rPr>
        <w:t> </w:t>
      </w:r>
      <w:r>
        <w:rPr/>
        <w:t>approach</w:t>
      </w:r>
      <w:r>
        <w:rPr>
          <w:spacing w:val="-7"/>
        </w:rPr>
        <w:t> </w:t>
      </w:r>
      <w:r>
        <w:rPr/>
        <w:t>has</w:t>
      </w:r>
      <w:r>
        <w:rPr>
          <w:spacing w:val="-4"/>
        </w:rPr>
        <w:t> </w:t>
      </w:r>
      <w:r>
        <w:rPr/>
        <w:t>been</w:t>
      </w:r>
      <w:r>
        <w:rPr>
          <w:spacing w:val="-5"/>
        </w:rPr>
        <w:t> </w:t>
      </w:r>
      <w:r>
        <w:rPr/>
        <w:t>used</w:t>
      </w:r>
      <w:r>
        <w:rPr>
          <w:spacing w:val="-7"/>
        </w:rPr>
        <w:t> </w:t>
      </w:r>
      <w:r>
        <w:rPr/>
        <w:t>to</w:t>
      </w:r>
      <w:r>
        <w:rPr>
          <w:spacing w:val="-5"/>
        </w:rPr>
        <w:t> </w:t>
      </w:r>
      <w:r>
        <w:rPr/>
        <w:t>identify</w:t>
      </w:r>
      <w:r>
        <w:rPr>
          <w:spacing w:val="-7"/>
        </w:rPr>
        <w:t> </w:t>
      </w:r>
      <w:r>
        <w:rPr/>
        <w:t>industry.</w:t>
      </w:r>
      <w:r>
        <w:rPr>
          <w:spacing w:val="-5"/>
        </w:rPr>
        <w:t> </w:t>
      </w:r>
      <w:r>
        <w:rPr/>
        <w:t>‘Role</w:t>
      </w:r>
      <w:r>
        <w:rPr>
          <w:spacing w:val="-7"/>
        </w:rPr>
        <w:t> </w:t>
      </w:r>
      <w:r>
        <w:rPr>
          <w:spacing w:val="-2"/>
        </w:rPr>
        <w:t>descriptions’</w:t>
      </w:r>
    </w:p>
    <w:p>
      <w:pPr>
        <w:pStyle w:val="BodyText"/>
        <w:spacing w:line="231" w:lineRule="exact"/>
        <w:ind w:left="115"/>
      </w:pPr>
      <w:r>
        <w:rPr/>
        <w:t>(which</w:t>
      </w:r>
      <w:r>
        <w:rPr>
          <w:spacing w:val="-9"/>
        </w:rPr>
        <w:t> </w:t>
      </w:r>
      <w:r>
        <w:rPr/>
        <w:t>are</w:t>
      </w:r>
      <w:r>
        <w:rPr>
          <w:spacing w:val="-5"/>
        </w:rPr>
        <w:t> </w:t>
      </w:r>
      <w:r>
        <w:rPr/>
        <w:t>job</w:t>
      </w:r>
      <w:r>
        <w:rPr>
          <w:spacing w:val="-7"/>
        </w:rPr>
        <w:t> </w:t>
      </w:r>
      <w:r>
        <w:rPr/>
        <w:t>or</w:t>
      </w:r>
      <w:r>
        <w:rPr>
          <w:spacing w:val="-7"/>
        </w:rPr>
        <w:t> </w:t>
      </w:r>
      <w:r>
        <w:rPr/>
        <w:t>occupation</w:t>
      </w:r>
      <w:r>
        <w:rPr>
          <w:spacing w:val="-8"/>
        </w:rPr>
        <w:t> </w:t>
      </w:r>
      <w:r>
        <w:rPr/>
        <w:t>descriptions)</w:t>
      </w:r>
      <w:r>
        <w:rPr>
          <w:spacing w:val="-7"/>
        </w:rPr>
        <w:t> </w:t>
      </w:r>
      <w:r>
        <w:rPr/>
        <w:t>may</w:t>
      </w:r>
      <w:r>
        <w:rPr>
          <w:spacing w:val="-7"/>
        </w:rPr>
        <w:t> </w:t>
      </w:r>
      <w:r>
        <w:rPr/>
        <w:t>be</w:t>
      </w:r>
      <w:r>
        <w:rPr>
          <w:spacing w:val="-5"/>
        </w:rPr>
        <w:t> </w:t>
      </w:r>
      <w:r>
        <w:rPr/>
        <w:t>used</w:t>
      </w:r>
      <w:r>
        <w:rPr>
          <w:spacing w:val="-8"/>
        </w:rPr>
        <w:t> </w:t>
      </w:r>
      <w:r>
        <w:rPr/>
        <w:t>to</w:t>
      </w:r>
      <w:r>
        <w:rPr>
          <w:spacing w:val="-7"/>
        </w:rPr>
        <w:t> </w:t>
      </w:r>
      <w:r>
        <w:rPr/>
        <w:t>help</w:t>
      </w:r>
      <w:r>
        <w:rPr>
          <w:spacing w:val="-7"/>
        </w:rPr>
        <w:t> </w:t>
      </w:r>
      <w:r>
        <w:rPr/>
        <w:t>identify</w:t>
      </w:r>
      <w:r>
        <w:rPr>
          <w:spacing w:val="-7"/>
        </w:rPr>
        <w:t> </w:t>
      </w:r>
      <w:r>
        <w:rPr/>
        <w:t>an</w:t>
      </w:r>
      <w:r>
        <w:rPr>
          <w:spacing w:val="-8"/>
        </w:rPr>
        <w:t> </w:t>
      </w:r>
      <w:r>
        <w:rPr/>
        <w:t>accurate</w:t>
      </w:r>
      <w:r>
        <w:rPr>
          <w:spacing w:val="-7"/>
        </w:rPr>
        <w:t> </w:t>
      </w:r>
      <w:r>
        <w:rPr/>
        <w:t>industry</w:t>
      </w:r>
      <w:r>
        <w:rPr>
          <w:spacing w:val="-7"/>
        </w:rPr>
        <w:t> </w:t>
      </w:r>
      <w:r>
        <w:rPr>
          <w:spacing w:val="-4"/>
        </w:rPr>
        <w:t>fit.</w:t>
      </w:r>
    </w:p>
    <w:p>
      <w:pPr>
        <w:pStyle w:val="BodyText"/>
        <w:ind w:left="115" w:right="567"/>
      </w:pPr>
      <w:r>
        <w:rPr/>
        <w:t>PALM</w:t>
      </w:r>
      <w:r>
        <w:rPr>
          <w:spacing w:val="-4"/>
        </w:rPr>
        <w:t> </w:t>
      </w:r>
      <w:r>
        <w:rPr/>
        <w:t>scheme</w:t>
      </w:r>
      <w:r>
        <w:rPr>
          <w:spacing w:val="-4"/>
        </w:rPr>
        <w:t> </w:t>
      </w:r>
      <w:r>
        <w:rPr/>
        <w:t>data</w:t>
      </w:r>
      <w:r>
        <w:rPr>
          <w:spacing w:val="-3"/>
        </w:rPr>
        <w:t> </w:t>
      </w:r>
      <w:r>
        <w:rPr/>
        <w:t>is</w:t>
      </w:r>
      <w:r>
        <w:rPr>
          <w:spacing w:val="-3"/>
        </w:rPr>
        <w:t> </w:t>
      </w:r>
      <w:r>
        <w:rPr/>
        <w:t>reported</w:t>
      </w:r>
      <w:r>
        <w:rPr>
          <w:spacing w:val="-5"/>
        </w:rPr>
        <w:t> </w:t>
      </w:r>
      <w:r>
        <w:rPr/>
        <w:t>to</w:t>
      </w:r>
      <w:r>
        <w:rPr>
          <w:spacing w:val="-3"/>
        </w:rPr>
        <w:t> </w:t>
      </w:r>
      <w:r>
        <w:rPr/>
        <w:t>5</w:t>
      </w:r>
      <w:r>
        <w:rPr>
          <w:spacing w:val="-3"/>
        </w:rPr>
        <w:t> </w:t>
      </w:r>
      <w:r>
        <w:rPr/>
        <w:t>key</w:t>
      </w:r>
      <w:r>
        <w:rPr>
          <w:spacing w:val="-4"/>
        </w:rPr>
        <w:t> </w:t>
      </w:r>
      <w:r>
        <w:rPr/>
        <w:t>industry</w:t>
      </w:r>
      <w:r>
        <w:rPr>
          <w:spacing w:val="-4"/>
        </w:rPr>
        <w:t> </w:t>
      </w:r>
      <w:r>
        <w:rPr/>
        <w:t>groups:</w:t>
      </w:r>
      <w:r>
        <w:rPr>
          <w:spacing w:val="-3"/>
        </w:rPr>
        <w:t> </w:t>
      </w:r>
      <w:r>
        <w:rPr/>
        <w:t>Agriculture,</w:t>
      </w:r>
      <w:r>
        <w:rPr>
          <w:spacing w:val="-3"/>
        </w:rPr>
        <w:t> </w:t>
      </w:r>
      <w:r>
        <w:rPr/>
        <w:t>Meat</w:t>
      </w:r>
      <w:r>
        <w:rPr>
          <w:spacing w:val="-3"/>
        </w:rPr>
        <w:t> </w:t>
      </w:r>
      <w:r>
        <w:rPr/>
        <w:t>Processing,</w:t>
      </w:r>
      <w:r>
        <w:rPr>
          <w:spacing w:val="-3"/>
        </w:rPr>
        <w:t> </w:t>
      </w:r>
      <w:r>
        <w:rPr/>
        <w:t>Accommodation, Health Care and Social Assistance, and Other industries.</w:t>
      </w:r>
    </w:p>
    <w:p>
      <w:pPr>
        <w:pStyle w:val="BodyText"/>
        <w:spacing w:before="4"/>
      </w:pPr>
    </w:p>
    <w:p>
      <w:pPr>
        <w:pStyle w:val="ListParagraph"/>
        <w:numPr>
          <w:ilvl w:val="0"/>
          <w:numId w:val="3"/>
        </w:numPr>
        <w:tabs>
          <w:tab w:pos="835" w:val="left" w:leader="none"/>
        </w:tabs>
        <w:spacing w:line="245" w:lineRule="exact" w:before="0" w:after="0"/>
        <w:ind w:left="835" w:right="0" w:hanging="360"/>
        <w:jc w:val="left"/>
        <w:rPr>
          <w:i/>
          <w:sz w:val="20"/>
        </w:rPr>
      </w:pPr>
      <w:r>
        <w:rPr>
          <w:i/>
          <w:spacing w:val="-2"/>
          <w:sz w:val="20"/>
        </w:rPr>
        <w:t>Agriculture:</w:t>
      </w:r>
    </w:p>
    <w:p>
      <w:pPr>
        <w:pStyle w:val="BodyText"/>
        <w:spacing w:line="231" w:lineRule="exact"/>
        <w:ind w:left="835"/>
      </w:pPr>
      <w:r>
        <w:rPr/>
        <w:t>Reflects</w:t>
      </w:r>
      <w:r>
        <w:rPr>
          <w:spacing w:val="-8"/>
        </w:rPr>
        <w:t> </w:t>
      </w:r>
      <w:r>
        <w:rPr/>
        <w:t>workers</w:t>
      </w:r>
      <w:r>
        <w:rPr>
          <w:spacing w:val="-7"/>
        </w:rPr>
        <w:t> </w:t>
      </w:r>
      <w:r>
        <w:rPr/>
        <w:t>in</w:t>
      </w:r>
      <w:r>
        <w:rPr>
          <w:spacing w:val="-10"/>
        </w:rPr>
        <w:t> </w:t>
      </w:r>
      <w:r>
        <w:rPr/>
        <w:t>ANZSIC</w:t>
      </w:r>
      <w:r>
        <w:rPr>
          <w:spacing w:val="-5"/>
        </w:rPr>
        <w:t> </w:t>
      </w:r>
      <w:r>
        <w:rPr/>
        <w:t>Division</w:t>
      </w:r>
      <w:r>
        <w:rPr>
          <w:spacing w:val="-9"/>
        </w:rPr>
        <w:t> </w:t>
      </w:r>
      <w:r>
        <w:rPr/>
        <w:t>A:</w:t>
      </w:r>
      <w:r>
        <w:rPr>
          <w:spacing w:val="-8"/>
        </w:rPr>
        <w:t> </w:t>
      </w:r>
      <w:r>
        <w:rPr/>
        <w:t>Agriculture,</w:t>
      </w:r>
      <w:r>
        <w:rPr>
          <w:spacing w:val="-7"/>
        </w:rPr>
        <w:t> </w:t>
      </w:r>
      <w:r>
        <w:rPr/>
        <w:t>Forestry</w:t>
      </w:r>
      <w:r>
        <w:rPr>
          <w:spacing w:val="-9"/>
        </w:rPr>
        <w:t> </w:t>
      </w:r>
      <w:r>
        <w:rPr/>
        <w:t>and</w:t>
      </w:r>
      <w:r>
        <w:rPr>
          <w:spacing w:val="-8"/>
        </w:rPr>
        <w:t> </w:t>
      </w:r>
      <w:r>
        <w:rPr>
          <w:spacing w:val="-2"/>
        </w:rPr>
        <w:t>Fishing.</w:t>
      </w:r>
    </w:p>
    <w:p>
      <w:pPr>
        <w:pStyle w:val="ListParagraph"/>
        <w:numPr>
          <w:ilvl w:val="0"/>
          <w:numId w:val="3"/>
        </w:numPr>
        <w:tabs>
          <w:tab w:pos="835" w:val="left" w:leader="none"/>
        </w:tabs>
        <w:spacing w:line="245" w:lineRule="exact" w:before="122" w:after="0"/>
        <w:ind w:left="835" w:right="0" w:hanging="360"/>
        <w:jc w:val="left"/>
        <w:rPr>
          <w:i/>
          <w:sz w:val="20"/>
        </w:rPr>
      </w:pPr>
      <w:r>
        <w:rPr>
          <w:i/>
          <w:sz w:val="20"/>
        </w:rPr>
        <w:t>Meat</w:t>
      </w:r>
      <w:r>
        <w:rPr>
          <w:i/>
          <w:spacing w:val="-7"/>
          <w:sz w:val="20"/>
        </w:rPr>
        <w:t> </w:t>
      </w:r>
      <w:r>
        <w:rPr>
          <w:i/>
          <w:spacing w:val="-2"/>
          <w:sz w:val="20"/>
        </w:rPr>
        <w:t>Processing:</w:t>
      </w:r>
    </w:p>
    <w:p>
      <w:pPr>
        <w:pStyle w:val="BodyText"/>
        <w:spacing w:line="231" w:lineRule="exact"/>
        <w:ind w:left="835"/>
      </w:pPr>
      <w:r>
        <w:rPr/>
        <w:t>Includes</w:t>
      </w:r>
      <w:r>
        <w:rPr>
          <w:spacing w:val="-7"/>
        </w:rPr>
        <w:t> </w:t>
      </w:r>
      <w:r>
        <w:rPr/>
        <w:t>meat</w:t>
      </w:r>
      <w:r>
        <w:rPr>
          <w:spacing w:val="-7"/>
        </w:rPr>
        <w:t> </w:t>
      </w:r>
      <w:r>
        <w:rPr/>
        <w:t>and</w:t>
      </w:r>
      <w:r>
        <w:rPr>
          <w:spacing w:val="-8"/>
        </w:rPr>
        <w:t> </w:t>
      </w:r>
      <w:r>
        <w:rPr/>
        <w:t>meat</w:t>
      </w:r>
      <w:r>
        <w:rPr>
          <w:spacing w:val="-6"/>
        </w:rPr>
        <w:t> </w:t>
      </w:r>
      <w:r>
        <w:rPr/>
        <w:t>product</w:t>
      </w:r>
      <w:r>
        <w:rPr>
          <w:spacing w:val="-8"/>
        </w:rPr>
        <w:t> </w:t>
      </w:r>
      <w:r>
        <w:rPr/>
        <w:t>manufacturing</w:t>
      </w:r>
      <w:r>
        <w:rPr>
          <w:spacing w:val="-6"/>
        </w:rPr>
        <w:t> </w:t>
      </w:r>
      <w:r>
        <w:rPr/>
        <w:t>(a</w:t>
      </w:r>
      <w:r>
        <w:rPr>
          <w:spacing w:val="-7"/>
        </w:rPr>
        <w:t> </w:t>
      </w:r>
      <w:r>
        <w:rPr/>
        <w:t>subset</w:t>
      </w:r>
      <w:r>
        <w:rPr>
          <w:spacing w:val="-7"/>
        </w:rPr>
        <w:t> </w:t>
      </w:r>
      <w:r>
        <w:rPr/>
        <w:t>of</w:t>
      </w:r>
      <w:r>
        <w:rPr>
          <w:spacing w:val="-7"/>
        </w:rPr>
        <w:t> </w:t>
      </w:r>
      <w:r>
        <w:rPr/>
        <w:t>the</w:t>
      </w:r>
      <w:r>
        <w:rPr>
          <w:spacing w:val="-6"/>
        </w:rPr>
        <w:t> </w:t>
      </w:r>
      <w:r>
        <w:rPr/>
        <w:t>ANZSIC</w:t>
      </w:r>
      <w:r>
        <w:rPr>
          <w:spacing w:val="-7"/>
        </w:rPr>
        <w:t> </w:t>
      </w:r>
      <w:r>
        <w:rPr/>
        <w:t>Division</w:t>
      </w:r>
      <w:r>
        <w:rPr>
          <w:spacing w:val="-8"/>
        </w:rPr>
        <w:t> </w:t>
      </w:r>
      <w:r>
        <w:rPr/>
        <w:t>C:</w:t>
      </w:r>
      <w:r>
        <w:rPr>
          <w:spacing w:val="-7"/>
        </w:rPr>
        <w:t> </w:t>
      </w:r>
      <w:r>
        <w:rPr>
          <w:spacing w:val="-2"/>
        </w:rPr>
        <w:t>Manufacturing)</w:t>
      </w:r>
    </w:p>
    <w:p>
      <w:pPr>
        <w:pStyle w:val="ListParagraph"/>
        <w:numPr>
          <w:ilvl w:val="0"/>
          <w:numId w:val="3"/>
        </w:numPr>
        <w:tabs>
          <w:tab w:pos="835" w:val="left" w:leader="none"/>
        </w:tabs>
        <w:spacing w:line="245" w:lineRule="exact" w:before="121" w:after="0"/>
        <w:ind w:left="835" w:right="0" w:hanging="360"/>
        <w:jc w:val="left"/>
        <w:rPr>
          <w:i/>
          <w:sz w:val="20"/>
        </w:rPr>
      </w:pPr>
      <w:r>
        <w:rPr>
          <w:i/>
          <w:spacing w:val="-2"/>
          <w:sz w:val="20"/>
        </w:rPr>
        <w:t>Accommodation:</w:t>
      </w:r>
    </w:p>
    <w:p>
      <w:pPr>
        <w:pStyle w:val="BodyText"/>
        <w:spacing w:line="231" w:lineRule="exact"/>
        <w:ind w:left="835"/>
      </w:pPr>
      <w:r>
        <w:rPr/>
        <w:t>ANZSIC</w:t>
      </w:r>
      <w:r>
        <w:rPr>
          <w:spacing w:val="-8"/>
        </w:rPr>
        <w:t> </w:t>
      </w:r>
      <w:r>
        <w:rPr/>
        <w:t>Division</w:t>
      </w:r>
      <w:r>
        <w:rPr>
          <w:spacing w:val="-9"/>
        </w:rPr>
        <w:t> </w:t>
      </w:r>
      <w:r>
        <w:rPr/>
        <w:t>H:</w:t>
      </w:r>
      <w:r>
        <w:rPr>
          <w:spacing w:val="-7"/>
        </w:rPr>
        <w:t> </w:t>
      </w:r>
      <w:r>
        <w:rPr/>
        <w:t>Accommodation</w:t>
      </w:r>
      <w:r>
        <w:rPr>
          <w:spacing w:val="-9"/>
        </w:rPr>
        <w:t> </w:t>
      </w:r>
      <w:r>
        <w:rPr/>
        <w:t>and</w:t>
      </w:r>
      <w:r>
        <w:rPr>
          <w:spacing w:val="-8"/>
        </w:rPr>
        <w:t> </w:t>
      </w:r>
      <w:r>
        <w:rPr/>
        <w:t>Food</w:t>
      </w:r>
      <w:r>
        <w:rPr>
          <w:spacing w:val="-8"/>
        </w:rPr>
        <w:t> </w:t>
      </w:r>
      <w:r>
        <w:rPr>
          <w:spacing w:val="-2"/>
        </w:rPr>
        <w:t>Services.</w:t>
      </w:r>
    </w:p>
    <w:p>
      <w:pPr>
        <w:pStyle w:val="ListParagraph"/>
        <w:numPr>
          <w:ilvl w:val="0"/>
          <w:numId w:val="3"/>
        </w:numPr>
        <w:tabs>
          <w:tab w:pos="835" w:val="left" w:leader="none"/>
        </w:tabs>
        <w:spacing w:line="245" w:lineRule="exact" w:before="122" w:after="0"/>
        <w:ind w:left="835" w:right="0" w:hanging="360"/>
        <w:jc w:val="left"/>
        <w:rPr>
          <w:sz w:val="20"/>
        </w:rPr>
      </w:pPr>
      <w:r>
        <w:rPr>
          <w:i/>
          <w:sz w:val="20"/>
        </w:rPr>
        <w:t>Health</w:t>
      </w:r>
      <w:r>
        <w:rPr>
          <w:i/>
          <w:spacing w:val="-7"/>
          <w:sz w:val="20"/>
        </w:rPr>
        <w:t> </w:t>
      </w:r>
      <w:r>
        <w:rPr>
          <w:i/>
          <w:sz w:val="20"/>
        </w:rPr>
        <w:t>care</w:t>
      </w:r>
      <w:r>
        <w:rPr>
          <w:i/>
          <w:spacing w:val="-6"/>
          <w:sz w:val="20"/>
        </w:rPr>
        <w:t> </w:t>
      </w:r>
      <w:r>
        <w:rPr>
          <w:i/>
          <w:sz w:val="20"/>
        </w:rPr>
        <w:t>and</w:t>
      </w:r>
      <w:r>
        <w:rPr>
          <w:i/>
          <w:spacing w:val="-6"/>
          <w:sz w:val="20"/>
        </w:rPr>
        <w:t> </w:t>
      </w:r>
      <w:r>
        <w:rPr>
          <w:i/>
          <w:sz w:val="20"/>
        </w:rPr>
        <w:t>social</w:t>
      </w:r>
      <w:r>
        <w:rPr>
          <w:i/>
          <w:spacing w:val="-5"/>
          <w:sz w:val="20"/>
        </w:rPr>
        <w:t> </w:t>
      </w:r>
      <w:r>
        <w:rPr>
          <w:i/>
          <w:spacing w:val="-2"/>
          <w:sz w:val="20"/>
        </w:rPr>
        <w:t>assistance</w:t>
      </w:r>
      <w:r>
        <w:rPr>
          <w:spacing w:val="-2"/>
          <w:sz w:val="20"/>
        </w:rPr>
        <w:t>:</w:t>
      </w:r>
    </w:p>
    <w:p>
      <w:pPr>
        <w:pStyle w:val="BodyText"/>
        <w:ind w:left="835" w:right="567"/>
      </w:pPr>
      <w:r>
        <w:rPr/>
        <w:t>ANZSIC</w:t>
      </w:r>
      <w:r>
        <w:rPr>
          <w:spacing w:val="-3"/>
        </w:rPr>
        <w:t> </w:t>
      </w:r>
      <w:r>
        <w:rPr/>
        <w:t>Division</w:t>
      </w:r>
      <w:r>
        <w:rPr>
          <w:spacing w:val="-5"/>
        </w:rPr>
        <w:t> </w:t>
      </w:r>
      <w:r>
        <w:rPr/>
        <w:t>Q:</w:t>
      </w:r>
      <w:r>
        <w:rPr>
          <w:spacing w:val="-3"/>
        </w:rPr>
        <w:t> </w:t>
      </w:r>
      <w:r>
        <w:rPr/>
        <w:t>Health care</w:t>
      </w:r>
      <w:r>
        <w:rPr>
          <w:spacing w:val="-4"/>
        </w:rPr>
        <w:t> </w:t>
      </w:r>
      <w:r>
        <w:rPr/>
        <w:t>and</w:t>
      </w:r>
      <w:r>
        <w:rPr>
          <w:spacing w:val="-4"/>
        </w:rPr>
        <w:t> </w:t>
      </w:r>
      <w:r>
        <w:rPr/>
        <w:t>social</w:t>
      </w:r>
      <w:r>
        <w:rPr>
          <w:spacing w:val="-2"/>
        </w:rPr>
        <w:t> </w:t>
      </w:r>
      <w:r>
        <w:rPr/>
        <w:t>assistance.</w:t>
      </w:r>
      <w:r>
        <w:rPr>
          <w:spacing w:val="-3"/>
        </w:rPr>
        <w:t> </w:t>
      </w:r>
      <w:r>
        <w:rPr/>
        <w:t>Includes</w:t>
      </w:r>
      <w:r>
        <w:rPr>
          <w:spacing w:val="-3"/>
        </w:rPr>
        <w:t> </w:t>
      </w:r>
      <w:r>
        <w:rPr/>
        <w:t>aged,</w:t>
      </w:r>
      <w:r>
        <w:rPr>
          <w:spacing w:val="-3"/>
        </w:rPr>
        <w:t> </w:t>
      </w:r>
      <w:r>
        <w:rPr/>
        <w:t>disability</w:t>
      </w:r>
      <w:r>
        <w:rPr>
          <w:spacing w:val="-4"/>
        </w:rPr>
        <w:t> </w:t>
      </w:r>
      <w:r>
        <w:rPr/>
        <w:t>and</w:t>
      </w:r>
      <w:r>
        <w:rPr>
          <w:spacing w:val="-4"/>
        </w:rPr>
        <w:t> </w:t>
      </w:r>
      <w:r>
        <w:rPr/>
        <w:t>other</w:t>
      </w:r>
      <w:r>
        <w:rPr>
          <w:spacing w:val="-4"/>
        </w:rPr>
        <w:t> </w:t>
      </w:r>
      <w:r>
        <w:rPr/>
        <w:t>health care services, including residential care.</w:t>
      </w:r>
    </w:p>
    <w:p>
      <w:pPr>
        <w:pStyle w:val="ListParagraph"/>
        <w:numPr>
          <w:ilvl w:val="0"/>
          <w:numId w:val="3"/>
        </w:numPr>
        <w:tabs>
          <w:tab w:pos="835" w:val="left" w:leader="none"/>
        </w:tabs>
        <w:spacing w:line="245" w:lineRule="exact" w:before="121" w:after="0"/>
        <w:ind w:left="835" w:right="0" w:hanging="360"/>
        <w:jc w:val="left"/>
        <w:rPr>
          <w:i/>
          <w:sz w:val="20"/>
        </w:rPr>
      </w:pPr>
      <w:r>
        <w:rPr>
          <w:i/>
          <w:sz w:val="20"/>
        </w:rPr>
        <w:t>Other</w:t>
      </w:r>
      <w:r>
        <w:rPr>
          <w:i/>
          <w:spacing w:val="-9"/>
          <w:sz w:val="20"/>
        </w:rPr>
        <w:t> </w:t>
      </w:r>
      <w:r>
        <w:rPr>
          <w:i/>
          <w:spacing w:val="-2"/>
          <w:sz w:val="20"/>
        </w:rPr>
        <w:t>Industries:</w:t>
      </w:r>
    </w:p>
    <w:p>
      <w:pPr>
        <w:pStyle w:val="BodyText"/>
        <w:ind w:left="835" w:right="641"/>
      </w:pPr>
      <w:r>
        <w:rPr/>
        <w:t>Includes all remaining industries, that are not otherwise classified to the industries above. Note that a small number of workers in manufacturing in non-meat processing (such as grain and cereal</w:t>
      </w:r>
      <w:r>
        <w:rPr>
          <w:spacing w:val="-2"/>
        </w:rPr>
        <w:t> </w:t>
      </w:r>
      <w:r>
        <w:rPr/>
        <w:t>manufacturing,</w:t>
      </w:r>
      <w:r>
        <w:rPr>
          <w:spacing w:val="-3"/>
        </w:rPr>
        <w:t> </w:t>
      </w:r>
      <w:r>
        <w:rPr/>
        <w:t>or</w:t>
      </w:r>
      <w:r>
        <w:rPr>
          <w:spacing w:val="-4"/>
        </w:rPr>
        <w:t> </w:t>
      </w:r>
      <w:r>
        <w:rPr/>
        <w:t>textile</w:t>
      </w:r>
      <w:r>
        <w:rPr>
          <w:spacing w:val="-4"/>
        </w:rPr>
        <w:t> </w:t>
      </w:r>
      <w:r>
        <w:rPr/>
        <w:t>or</w:t>
      </w:r>
      <w:r>
        <w:rPr>
          <w:spacing w:val="-4"/>
        </w:rPr>
        <w:t> </w:t>
      </w:r>
      <w:r>
        <w:rPr/>
        <w:t>clothing</w:t>
      </w:r>
      <w:r>
        <w:rPr>
          <w:spacing w:val="-4"/>
        </w:rPr>
        <w:t> </w:t>
      </w:r>
      <w:r>
        <w:rPr/>
        <w:t>manufacturing)</w:t>
      </w:r>
      <w:r>
        <w:rPr>
          <w:spacing w:val="-3"/>
        </w:rPr>
        <w:t> </w:t>
      </w:r>
      <w:r>
        <w:rPr/>
        <w:t>are</w:t>
      </w:r>
      <w:r>
        <w:rPr>
          <w:spacing w:val="-2"/>
        </w:rPr>
        <w:t> </w:t>
      </w:r>
      <w:r>
        <w:rPr/>
        <w:t>included</w:t>
      </w:r>
      <w:r>
        <w:rPr>
          <w:spacing w:val="-4"/>
        </w:rPr>
        <w:t> </w:t>
      </w:r>
      <w:r>
        <w:rPr/>
        <w:t>in</w:t>
      </w:r>
      <w:r>
        <w:rPr>
          <w:spacing w:val="-4"/>
        </w:rPr>
        <w:t> </w:t>
      </w:r>
      <w:r>
        <w:rPr/>
        <w:t>Other</w:t>
      </w:r>
      <w:r>
        <w:rPr>
          <w:spacing w:val="-4"/>
        </w:rPr>
        <w:t> </w:t>
      </w:r>
      <w:r>
        <w:rPr/>
        <w:t>industries.</w:t>
      </w:r>
      <w:r>
        <w:rPr>
          <w:spacing w:val="-3"/>
        </w:rPr>
        <w:t> </w:t>
      </w:r>
      <w:r>
        <w:rPr/>
        <w:t>Any workers in Retail are included in Other industries.</w:t>
      </w:r>
    </w:p>
    <w:p>
      <w:pPr>
        <w:pStyle w:val="BodyText"/>
        <w:spacing w:before="8"/>
      </w:pPr>
    </w:p>
    <w:p>
      <w:pPr>
        <w:pStyle w:val="Heading2"/>
      </w:pPr>
      <w:r>
        <w:rPr>
          <w:color w:val="242A82"/>
          <w:spacing w:val="-2"/>
        </w:rPr>
        <w:t>Citation</w:t>
      </w:r>
    </w:p>
    <w:p>
      <w:pPr>
        <w:pStyle w:val="BodyText"/>
        <w:spacing w:before="118"/>
        <w:ind w:left="115" w:right="567"/>
      </w:pPr>
      <w:r>
        <w:rPr/>
        <w:t>Any publications or reports using the data reported by DEWR must cite DEWR as the source. Where this data</w:t>
      </w:r>
      <w:r>
        <w:rPr>
          <w:spacing w:val="-3"/>
        </w:rPr>
        <w:t> </w:t>
      </w:r>
      <w:r>
        <w:rPr/>
        <w:t>has</w:t>
      </w:r>
      <w:r>
        <w:rPr>
          <w:spacing w:val="-3"/>
        </w:rPr>
        <w:t> </w:t>
      </w:r>
      <w:r>
        <w:rPr/>
        <w:t>been</w:t>
      </w:r>
      <w:r>
        <w:rPr>
          <w:spacing w:val="-3"/>
        </w:rPr>
        <w:t> </w:t>
      </w:r>
      <w:r>
        <w:rPr/>
        <w:t>used</w:t>
      </w:r>
      <w:r>
        <w:rPr>
          <w:spacing w:val="-3"/>
        </w:rPr>
        <w:t> </w:t>
      </w:r>
      <w:r>
        <w:rPr/>
        <w:t>for</w:t>
      </w:r>
      <w:r>
        <w:rPr>
          <w:spacing w:val="-4"/>
        </w:rPr>
        <w:t> </w:t>
      </w:r>
      <w:r>
        <w:rPr/>
        <w:t>further</w:t>
      </w:r>
      <w:r>
        <w:rPr>
          <w:spacing w:val="-5"/>
        </w:rPr>
        <w:t> </w:t>
      </w:r>
      <w:r>
        <w:rPr/>
        <w:t>analysis</w:t>
      </w:r>
      <w:r>
        <w:rPr>
          <w:spacing w:val="-3"/>
        </w:rPr>
        <w:t> </w:t>
      </w:r>
      <w:r>
        <w:rPr/>
        <w:t>and</w:t>
      </w:r>
      <w:r>
        <w:rPr>
          <w:spacing w:val="-4"/>
        </w:rPr>
        <w:t> </w:t>
      </w:r>
      <w:r>
        <w:rPr/>
        <w:t>interpretation,</w:t>
      </w:r>
      <w:r>
        <w:rPr>
          <w:spacing w:val="-3"/>
        </w:rPr>
        <w:t> </w:t>
      </w:r>
      <w:r>
        <w:rPr/>
        <w:t>DEWR</w:t>
      </w:r>
      <w:r>
        <w:rPr>
          <w:spacing w:val="-2"/>
        </w:rPr>
        <w:t> </w:t>
      </w:r>
      <w:r>
        <w:rPr/>
        <w:t>requests</w:t>
      </w:r>
      <w:r>
        <w:rPr>
          <w:spacing w:val="-3"/>
        </w:rPr>
        <w:t> </w:t>
      </w:r>
      <w:r>
        <w:rPr/>
        <w:t>the</w:t>
      </w:r>
      <w:r>
        <w:rPr>
          <w:spacing w:val="-4"/>
        </w:rPr>
        <w:t> </w:t>
      </w:r>
      <w:r>
        <w:rPr/>
        <w:t>inclusion</w:t>
      </w:r>
      <w:r>
        <w:rPr>
          <w:spacing w:val="-5"/>
        </w:rPr>
        <w:t> </w:t>
      </w:r>
      <w:r>
        <w:rPr/>
        <w:t>of</w:t>
      </w:r>
      <w:r>
        <w:rPr>
          <w:spacing w:val="-3"/>
        </w:rPr>
        <w:t> </w:t>
      </w:r>
      <w:r>
        <w:rPr/>
        <w:t>the</w:t>
      </w:r>
      <w:r>
        <w:rPr>
          <w:spacing w:val="-5"/>
        </w:rPr>
        <w:t> </w:t>
      </w:r>
      <w:r>
        <w:rPr/>
        <w:t>following statement in the published report:</w:t>
      </w:r>
    </w:p>
    <w:p>
      <w:pPr>
        <w:spacing w:before="120"/>
        <w:ind w:left="835" w:right="0" w:firstLine="0"/>
        <w:jc w:val="left"/>
        <w:rPr>
          <w:i/>
          <w:sz w:val="20"/>
        </w:rPr>
      </w:pPr>
      <w:r>
        <w:rPr>
          <w:i/>
          <w:sz w:val="20"/>
        </w:rPr>
        <w:t>“The</w:t>
      </w:r>
      <w:r>
        <w:rPr>
          <w:i/>
          <w:spacing w:val="-6"/>
          <w:sz w:val="20"/>
        </w:rPr>
        <w:t> </w:t>
      </w:r>
      <w:r>
        <w:rPr>
          <w:i/>
          <w:sz w:val="20"/>
        </w:rPr>
        <w:t>views</w:t>
      </w:r>
      <w:r>
        <w:rPr>
          <w:i/>
          <w:spacing w:val="-5"/>
          <w:sz w:val="20"/>
        </w:rPr>
        <w:t> </w:t>
      </w:r>
      <w:r>
        <w:rPr>
          <w:i/>
          <w:sz w:val="20"/>
        </w:rPr>
        <w:t>expressed</w:t>
      </w:r>
      <w:r>
        <w:rPr>
          <w:i/>
          <w:spacing w:val="-7"/>
          <w:sz w:val="20"/>
        </w:rPr>
        <w:t> </w:t>
      </w:r>
      <w:r>
        <w:rPr>
          <w:i/>
          <w:sz w:val="20"/>
        </w:rPr>
        <w:t>in</w:t>
      </w:r>
      <w:r>
        <w:rPr>
          <w:i/>
          <w:spacing w:val="-8"/>
          <w:sz w:val="20"/>
        </w:rPr>
        <w:t> </w:t>
      </w:r>
      <w:r>
        <w:rPr>
          <w:i/>
          <w:sz w:val="20"/>
        </w:rPr>
        <w:t>this</w:t>
      </w:r>
      <w:r>
        <w:rPr>
          <w:i/>
          <w:spacing w:val="-6"/>
          <w:sz w:val="20"/>
        </w:rPr>
        <w:t> </w:t>
      </w:r>
      <w:r>
        <w:rPr>
          <w:i/>
          <w:sz w:val="20"/>
        </w:rPr>
        <w:t>report</w:t>
      </w:r>
      <w:r>
        <w:rPr>
          <w:i/>
          <w:spacing w:val="-7"/>
          <w:sz w:val="20"/>
        </w:rPr>
        <w:t> </w:t>
      </w:r>
      <w:r>
        <w:rPr>
          <w:i/>
          <w:sz w:val="20"/>
        </w:rPr>
        <w:t>are</w:t>
      </w:r>
      <w:r>
        <w:rPr>
          <w:i/>
          <w:spacing w:val="-6"/>
          <w:sz w:val="20"/>
        </w:rPr>
        <w:t> </w:t>
      </w:r>
      <w:r>
        <w:rPr>
          <w:i/>
          <w:sz w:val="20"/>
        </w:rPr>
        <w:t>those</w:t>
      </w:r>
      <w:r>
        <w:rPr>
          <w:i/>
          <w:spacing w:val="-5"/>
          <w:sz w:val="20"/>
        </w:rPr>
        <w:t> </w:t>
      </w:r>
      <w:r>
        <w:rPr>
          <w:i/>
          <w:sz w:val="20"/>
        </w:rPr>
        <w:t>of</w:t>
      </w:r>
      <w:r>
        <w:rPr>
          <w:i/>
          <w:spacing w:val="-7"/>
          <w:sz w:val="20"/>
        </w:rPr>
        <w:t> </w:t>
      </w:r>
      <w:r>
        <w:rPr>
          <w:i/>
          <w:sz w:val="20"/>
        </w:rPr>
        <w:t>the</w:t>
      </w:r>
      <w:r>
        <w:rPr>
          <w:i/>
          <w:spacing w:val="-6"/>
          <w:sz w:val="20"/>
        </w:rPr>
        <w:t> </w:t>
      </w:r>
      <w:r>
        <w:rPr>
          <w:i/>
          <w:sz w:val="20"/>
        </w:rPr>
        <w:t>authors</w:t>
      </w:r>
      <w:r>
        <w:rPr>
          <w:i/>
          <w:spacing w:val="-6"/>
          <w:sz w:val="20"/>
        </w:rPr>
        <w:t> </w:t>
      </w:r>
      <w:r>
        <w:rPr>
          <w:i/>
          <w:sz w:val="20"/>
        </w:rPr>
        <w:t>and</w:t>
      </w:r>
      <w:r>
        <w:rPr>
          <w:i/>
          <w:spacing w:val="-7"/>
          <w:sz w:val="20"/>
        </w:rPr>
        <w:t> </w:t>
      </w:r>
      <w:r>
        <w:rPr>
          <w:i/>
          <w:sz w:val="20"/>
        </w:rPr>
        <w:t>do</w:t>
      </w:r>
      <w:r>
        <w:rPr>
          <w:i/>
          <w:spacing w:val="-4"/>
          <w:sz w:val="20"/>
        </w:rPr>
        <w:t> </w:t>
      </w:r>
      <w:r>
        <w:rPr>
          <w:i/>
          <w:sz w:val="20"/>
        </w:rPr>
        <w:t>not</w:t>
      </w:r>
      <w:r>
        <w:rPr>
          <w:i/>
          <w:spacing w:val="-7"/>
          <w:sz w:val="20"/>
        </w:rPr>
        <w:t> </w:t>
      </w:r>
      <w:r>
        <w:rPr>
          <w:i/>
          <w:sz w:val="20"/>
        </w:rPr>
        <w:t>necessarily</w:t>
      </w:r>
      <w:r>
        <w:rPr>
          <w:i/>
          <w:spacing w:val="-7"/>
          <w:sz w:val="20"/>
        </w:rPr>
        <w:t> </w:t>
      </w:r>
      <w:r>
        <w:rPr>
          <w:i/>
          <w:spacing w:val="-2"/>
          <w:sz w:val="20"/>
        </w:rPr>
        <w:t>represent</w:t>
      </w:r>
    </w:p>
    <w:p>
      <w:pPr>
        <w:spacing w:before="0"/>
        <w:ind w:left="835" w:right="0" w:firstLine="0"/>
        <w:jc w:val="left"/>
        <w:rPr>
          <w:i/>
          <w:sz w:val="20"/>
        </w:rPr>
      </w:pPr>
      <w:r>
        <w:rPr>
          <w:i/>
          <w:sz w:val="20"/>
        </w:rPr>
        <w:t>those</w:t>
      </w:r>
      <w:r>
        <w:rPr>
          <w:i/>
          <w:spacing w:val="-4"/>
          <w:sz w:val="20"/>
        </w:rPr>
        <w:t> </w:t>
      </w:r>
      <w:r>
        <w:rPr>
          <w:i/>
          <w:sz w:val="20"/>
        </w:rPr>
        <w:t>of</w:t>
      </w:r>
      <w:r>
        <w:rPr>
          <w:i/>
          <w:spacing w:val="-4"/>
          <w:sz w:val="20"/>
        </w:rPr>
        <w:t> </w:t>
      </w:r>
      <w:r>
        <w:rPr>
          <w:i/>
          <w:spacing w:val="-2"/>
          <w:sz w:val="20"/>
        </w:rPr>
        <w:t>DEWR."</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31"/>
        <w:rPr>
          <w:i/>
        </w:rPr>
      </w:pPr>
    </w:p>
    <w:p>
      <w:pPr>
        <w:pStyle w:val="Heading2"/>
      </w:pPr>
      <w:r>
        <w:rPr>
          <w:color w:val="242A82"/>
          <w:spacing w:val="-2"/>
        </w:rPr>
        <w:t>Contact</w:t>
      </w:r>
    </w:p>
    <w:p>
      <w:pPr>
        <w:pStyle w:val="BodyText"/>
        <w:spacing w:before="119"/>
        <w:ind w:left="115"/>
      </w:pPr>
      <w:r>
        <w:rPr/>
        <w:t>For</w:t>
      </w:r>
      <w:r>
        <w:rPr>
          <w:spacing w:val="-7"/>
        </w:rPr>
        <w:t> </w:t>
      </w:r>
      <w:r>
        <w:rPr/>
        <w:t>any</w:t>
      </w:r>
      <w:r>
        <w:rPr>
          <w:spacing w:val="-7"/>
        </w:rPr>
        <w:t> </w:t>
      </w:r>
      <w:r>
        <w:rPr/>
        <w:t>inquiries,</w:t>
      </w:r>
      <w:r>
        <w:rPr>
          <w:spacing w:val="-6"/>
        </w:rPr>
        <w:t> </w:t>
      </w:r>
      <w:r>
        <w:rPr/>
        <w:t>please</w:t>
      </w:r>
      <w:r>
        <w:rPr>
          <w:spacing w:val="-7"/>
        </w:rPr>
        <w:t> </w:t>
      </w:r>
      <w:r>
        <w:rPr>
          <w:spacing w:val="-2"/>
        </w:rPr>
        <w:t>contact:</w:t>
      </w:r>
    </w:p>
    <w:p>
      <w:pPr>
        <w:pStyle w:val="BodyText"/>
        <w:spacing w:before="120"/>
        <w:ind w:left="835"/>
      </w:pPr>
      <w:r>
        <w:rPr/>
        <w:t>For</w:t>
      </w:r>
      <w:r>
        <w:rPr>
          <w:spacing w:val="-10"/>
        </w:rPr>
        <w:t> </w:t>
      </w:r>
      <w:r>
        <w:rPr/>
        <w:t>general</w:t>
      </w:r>
      <w:r>
        <w:rPr>
          <w:spacing w:val="-6"/>
        </w:rPr>
        <w:t> </w:t>
      </w:r>
      <w:r>
        <w:rPr/>
        <w:t>PALM</w:t>
      </w:r>
      <w:r>
        <w:rPr>
          <w:spacing w:val="-8"/>
        </w:rPr>
        <w:t> </w:t>
      </w:r>
      <w:r>
        <w:rPr/>
        <w:t>scheme</w:t>
      </w:r>
      <w:r>
        <w:rPr>
          <w:spacing w:val="-7"/>
        </w:rPr>
        <w:t> </w:t>
      </w:r>
      <w:r>
        <w:rPr/>
        <w:t>enquiries:</w:t>
      </w:r>
      <w:r>
        <w:rPr>
          <w:spacing w:val="-6"/>
        </w:rPr>
        <w:t> </w:t>
      </w:r>
      <w:hyperlink r:id="rId32">
        <w:r>
          <w:rPr>
            <w:color w:val="009CCC"/>
            <w:spacing w:val="-2"/>
            <w:u w:val="single" w:color="009CCC"/>
          </w:rPr>
          <w:t>PALM@dewr.gov.au</w:t>
        </w:r>
      </w:hyperlink>
    </w:p>
    <w:p>
      <w:pPr>
        <w:pStyle w:val="BodyText"/>
        <w:spacing w:before="1"/>
        <w:ind w:left="835"/>
      </w:pPr>
      <w:r>
        <w:rPr/>
        <w:t>For</w:t>
      </w:r>
      <w:r>
        <w:rPr>
          <w:spacing w:val="-8"/>
        </w:rPr>
        <w:t> </w:t>
      </w:r>
      <w:r>
        <w:rPr/>
        <w:t>PALM</w:t>
      </w:r>
      <w:r>
        <w:rPr>
          <w:spacing w:val="-7"/>
        </w:rPr>
        <w:t> </w:t>
      </w:r>
      <w:r>
        <w:rPr/>
        <w:t>scheme</w:t>
      </w:r>
      <w:r>
        <w:rPr>
          <w:spacing w:val="-7"/>
        </w:rPr>
        <w:t> </w:t>
      </w:r>
      <w:r>
        <w:rPr/>
        <w:t>data</w:t>
      </w:r>
      <w:r>
        <w:rPr>
          <w:spacing w:val="-6"/>
        </w:rPr>
        <w:t> </w:t>
      </w:r>
      <w:r>
        <w:rPr/>
        <w:t>enquiries:</w:t>
      </w:r>
      <w:r>
        <w:rPr>
          <w:spacing w:val="-6"/>
        </w:rPr>
        <w:t> </w:t>
      </w:r>
      <w:hyperlink r:id="rId33">
        <w:r>
          <w:rPr>
            <w:color w:val="009CCC"/>
            <w:spacing w:val="-2"/>
            <w:u w:val="single" w:color="009CCC"/>
          </w:rPr>
          <w:t>pacificlabourdata@dewr.gov.au</w:t>
        </w:r>
      </w:hyperlink>
    </w:p>
    <w:p>
      <w:pPr>
        <w:pStyle w:val="BodyText"/>
        <w:rPr>
          <w:sz w:val="16"/>
        </w:rPr>
      </w:pPr>
    </w:p>
    <w:p>
      <w:pPr>
        <w:pStyle w:val="BodyText"/>
        <w:rPr>
          <w:sz w:val="16"/>
        </w:rPr>
      </w:pPr>
    </w:p>
    <w:p>
      <w:pPr>
        <w:pStyle w:val="BodyText"/>
        <w:rPr>
          <w:sz w:val="16"/>
        </w:rPr>
      </w:pPr>
    </w:p>
    <w:p>
      <w:pPr>
        <w:pStyle w:val="BodyText"/>
        <w:spacing w:before="24"/>
        <w:rPr>
          <w:sz w:val="16"/>
        </w:rPr>
      </w:pPr>
    </w:p>
    <w:p>
      <w:pPr>
        <w:spacing w:line="185" w:lineRule="exact" w:before="1"/>
        <w:ind w:left="9472" w:right="0" w:firstLine="0"/>
        <w:jc w:val="left"/>
        <w:rPr>
          <w:sz w:val="16"/>
        </w:rPr>
      </w:pPr>
      <w:r>
        <w:rPr>
          <w:color w:val="242A82"/>
          <w:spacing w:val="-5"/>
          <w:sz w:val="16"/>
        </w:rPr>
        <w:t>15</w:t>
      </w:r>
    </w:p>
    <w:p>
      <w:pPr>
        <w:spacing w:line="185" w:lineRule="exact" w:before="0"/>
        <w:ind w:left="115" w:right="0" w:firstLine="0"/>
        <w:jc w:val="left"/>
        <w:rPr>
          <w:sz w:val="16"/>
        </w:rPr>
      </w:pPr>
      <w:r>
        <w:rPr>
          <w:color w:val="242A82"/>
          <w:sz w:val="16"/>
        </w:rPr>
        <w:t>PALM</w:t>
      </w:r>
      <w:r>
        <w:rPr>
          <w:color w:val="242A82"/>
          <w:spacing w:val="-3"/>
          <w:sz w:val="16"/>
        </w:rPr>
        <w:t> </w:t>
      </w:r>
      <w:r>
        <w:rPr>
          <w:color w:val="242A82"/>
          <w:sz w:val="16"/>
        </w:rPr>
        <w:t>Scheme</w:t>
      </w:r>
      <w:r>
        <w:rPr>
          <w:color w:val="242A82"/>
          <w:spacing w:val="-4"/>
          <w:sz w:val="16"/>
        </w:rPr>
        <w:t> </w:t>
      </w:r>
      <w:r>
        <w:rPr>
          <w:color w:val="242A82"/>
          <w:sz w:val="16"/>
        </w:rPr>
        <w:t>data</w:t>
      </w:r>
      <w:r>
        <w:rPr>
          <w:color w:val="242A82"/>
          <w:spacing w:val="-5"/>
          <w:sz w:val="16"/>
        </w:rPr>
        <w:t> </w:t>
      </w:r>
      <w:r>
        <w:rPr>
          <w:color w:val="242A82"/>
          <w:sz w:val="16"/>
        </w:rPr>
        <w:t>report</w:t>
      </w:r>
      <w:r>
        <w:rPr>
          <w:color w:val="242A82"/>
          <w:spacing w:val="-6"/>
          <w:sz w:val="16"/>
        </w:rPr>
        <w:t> </w:t>
      </w:r>
      <w:r>
        <w:rPr>
          <w:color w:val="242A82"/>
          <w:sz w:val="16"/>
        </w:rPr>
        <w:t>–</w:t>
      </w:r>
      <w:r>
        <w:rPr>
          <w:color w:val="242A82"/>
          <w:spacing w:val="-4"/>
          <w:sz w:val="16"/>
        </w:rPr>
        <w:t> </w:t>
      </w:r>
      <w:r>
        <w:rPr>
          <w:color w:val="242A82"/>
          <w:sz w:val="16"/>
        </w:rPr>
        <w:t>June</w:t>
      </w:r>
      <w:r>
        <w:rPr>
          <w:color w:val="242A82"/>
          <w:spacing w:val="-6"/>
          <w:sz w:val="16"/>
        </w:rPr>
        <w:t> </w:t>
      </w:r>
      <w:r>
        <w:rPr>
          <w:color w:val="242A82"/>
          <w:sz w:val="16"/>
        </w:rPr>
        <w:t>quarter</w:t>
      </w:r>
      <w:r>
        <w:rPr>
          <w:color w:val="242A82"/>
          <w:spacing w:val="-2"/>
          <w:sz w:val="16"/>
        </w:rPr>
        <w:t> </w:t>
      </w:r>
      <w:r>
        <w:rPr>
          <w:color w:val="242A82"/>
          <w:spacing w:val="-4"/>
          <w:sz w:val="16"/>
        </w:rPr>
        <w:t>2024</w:t>
      </w:r>
    </w:p>
    <w:sectPr>
      <w:pgSz w:w="11910" w:h="16840"/>
      <w:pgMar w:top="1140" w:bottom="280" w:left="1133"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35"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55" w:hanging="732"/>
      </w:pPr>
      <w:rPr>
        <w:rFonts w:hint="default" w:ascii="Trebuchet MS" w:hAnsi="Trebuchet MS" w:eastAsia="Trebuchet MS" w:cs="Trebuchet MS"/>
        <w:b w:val="0"/>
        <w:bCs w:val="0"/>
        <w:i w:val="0"/>
        <w:iCs w:val="0"/>
        <w:spacing w:val="0"/>
        <w:w w:val="99"/>
        <w:sz w:val="20"/>
        <w:szCs w:val="20"/>
        <w:lang w:val="en-US" w:eastAsia="en-US" w:bidi="ar-SA"/>
      </w:rPr>
    </w:lvl>
    <w:lvl w:ilvl="2">
      <w:start w:val="0"/>
      <w:numFmt w:val="bullet"/>
      <w:lvlText w:val="•"/>
      <w:lvlJc w:val="left"/>
      <w:pPr>
        <w:ind w:left="2520" w:hanging="732"/>
      </w:pPr>
      <w:rPr>
        <w:rFonts w:hint="default"/>
        <w:lang w:val="en-US" w:eastAsia="en-US" w:bidi="ar-SA"/>
      </w:rPr>
    </w:lvl>
    <w:lvl w:ilvl="3">
      <w:start w:val="0"/>
      <w:numFmt w:val="bullet"/>
      <w:lvlText w:val="•"/>
      <w:lvlJc w:val="left"/>
      <w:pPr>
        <w:ind w:left="3481" w:hanging="732"/>
      </w:pPr>
      <w:rPr>
        <w:rFonts w:hint="default"/>
        <w:lang w:val="en-US" w:eastAsia="en-US" w:bidi="ar-SA"/>
      </w:rPr>
    </w:lvl>
    <w:lvl w:ilvl="4">
      <w:start w:val="0"/>
      <w:numFmt w:val="bullet"/>
      <w:lvlText w:val="•"/>
      <w:lvlJc w:val="left"/>
      <w:pPr>
        <w:ind w:left="4442" w:hanging="732"/>
      </w:pPr>
      <w:rPr>
        <w:rFonts w:hint="default"/>
        <w:lang w:val="en-US" w:eastAsia="en-US" w:bidi="ar-SA"/>
      </w:rPr>
    </w:lvl>
    <w:lvl w:ilvl="5">
      <w:start w:val="0"/>
      <w:numFmt w:val="bullet"/>
      <w:lvlText w:val="•"/>
      <w:lvlJc w:val="left"/>
      <w:pPr>
        <w:ind w:left="5403" w:hanging="732"/>
      </w:pPr>
      <w:rPr>
        <w:rFonts w:hint="default"/>
        <w:lang w:val="en-US" w:eastAsia="en-US" w:bidi="ar-SA"/>
      </w:rPr>
    </w:lvl>
    <w:lvl w:ilvl="6">
      <w:start w:val="0"/>
      <w:numFmt w:val="bullet"/>
      <w:lvlText w:val="•"/>
      <w:lvlJc w:val="left"/>
      <w:pPr>
        <w:ind w:left="6364" w:hanging="732"/>
      </w:pPr>
      <w:rPr>
        <w:rFonts w:hint="default"/>
        <w:lang w:val="en-US" w:eastAsia="en-US" w:bidi="ar-SA"/>
      </w:rPr>
    </w:lvl>
    <w:lvl w:ilvl="7">
      <w:start w:val="0"/>
      <w:numFmt w:val="bullet"/>
      <w:lvlText w:val="•"/>
      <w:lvlJc w:val="left"/>
      <w:pPr>
        <w:ind w:left="7324" w:hanging="732"/>
      </w:pPr>
      <w:rPr>
        <w:rFonts w:hint="default"/>
        <w:lang w:val="en-US" w:eastAsia="en-US" w:bidi="ar-SA"/>
      </w:rPr>
    </w:lvl>
    <w:lvl w:ilvl="8">
      <w:start w:val="0"/>
      <w:numFmt w:val="bullet"/>
      <w:lvlText w:val="•"/>
      <w:lvlJc w:val="left"/>
      <w:pPr>
        <w:ind w:left="8285" w:hanging="732"/>
      </w:pPr>
      <w:rPr>
        <w:rFonts w:hint="default"/>
        <w:lang w:val="en-US" w:eastAsia="en-US" w:bidi="ar-SA"/>
      </w:rPr>
    </w:lvl>
  </w:abstractNum>
  <w:abstractNum w:abstractNumId="1">
    <w:multiLevelType w:val="hybridMultilevel"/>
    <w:lvl w:ilvl="0">
      <w:start w:val="0"/>
      <w:numFmt w:val="bullet"/>
      <w:lvlText w:val=""/>
      <w:lvlJc w:val="left"/>
      <w:pPr>
        <w:ind w:left="835"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76" w:hanging="360"/>
      </w:pPr>
      <w:rPr>
        <w:rFonts w:hint="default"/>
        <w:lang w:val="en-US" w:eastAsia="en-US" w:bidi="ar-SA"/>
      </w:rPr>
    </w:lvl>
    <w:lvl w:ilvl="2">
      <w:start w:val="0"/>
      <w:numFmt w:val="bullet"/>
      <w:lvlText w:val="•"/>
      <w:lvlJc w:val="left"/>
      <w:pPr>
        <w:ind w:left="2713" w:hanging="360"/>
      </w:pPr>
      <w:rPr>
        <w:rFonts w:hint="default"/>
        <w:lang w:val="en-US" w:eastAsia="en-US" w:bidi="ar-SA"/>
      </w:rPr>
    </w:lvl>
    <w:lvl w:ilvl="3">
      <w:start w:val="0"/>
      <w:numFmt w:val="bullet"/>
      <w:lvlText w:val="•"/>
      <w:lvlJc w:val="left"/>
      <w:pPr>
        <w:ind w:left="3650" w:hanging="360"/>
      </w:pPr>
      <w:rPr>
        <w:rFonts w:hint="default"/>
        <w:lang w:val="en-US" w:eastAsia="en-US" w:bidi="ar-SA"/>
      </w:rPr>
    </w:lvl>
    <w:lvl w:ilvl="4">
      <w:start w:val="0"/>
      <w:numFmt w:val="bullet"/>
      <w:lvlText w:val="•"/>
      <w:lvlJc w:val="left"/>
      <w:pPr>
        <w:ind w:left="4586" w:hanging="360"/>
      </w:pPr>
      <w:rPr>
        <w:rFonts w:hint="default"/>
        <w:lang w:val="en-US" w:eastAsia="en-US" w:bidi="ar-SA"/>
      </w:rPr>
    </w:lvl>
    <w:lvl w:ilvl="5">
      <w:start w:val="0"/>
      <w:numFmt w:val="bullet"/>
      <w:lvlText w:val="•"/>
      <w:lvlJc w:val="left"/>
      <w:pPr>
        <w:ind w:left="5523" w:hanging="360"/>
      </w:pPr>
      <w:rPr>
        <w:rFonts w:hint="default"/>
        <w:lang w:val="en-US" w:eastAsia="en-US" w:bidi="ar-SA"/>
      </w:rPr>
    </w:lvl>
    <w:lvl w:ilvl="6">
      <w:start w:val="0"/>
      <w:numFmt w:val="bullet"/>
      <w:lvlText w:val="•"/>
      <w:lvlJc w:val="left"/>
      <w:pPr>
        <w:ind w:left="6460" w:hanging="360"/>
      </w:pPr>
      <w:rPr>
        <w:rFonts w:hint="default"/>
        <w:lang w:val="en-US" w:eastAsia="en-US" w:bidi="ar-SA"/>
      </w:rPr>
    </w:lvl>
    <w:lvl w:ilvl="7">
      <w:start w:val="0"/>
      <w:numFmt w:val="bullet"/>
      <w:lvlText w:val="•"/>
      <w:lvlJc w:val="left"/>
      <w:pPr>
        <w:ind w:left="7397" w:hanging="360"/>
      </w:pPr>
      <w:rPr>
        <w:rFonts w:hint="default"/>
        <w:lang w:val="en-US" w:eastAsia="en-US" w:bidi="ar-SA"/>
      </w:rPr>
    </w:lvl>
    <w:lvl w:ilvl="8">
      <w:start w:val="0"/>
      <w:numFmt w:val="bullet"/>
      <w:lvlText w:val="•"/>
      <w:lvlJc w:val="left"/>
      <w:pPr>
        <w:ind w:left="8333" w:hanging="360"/>
      </w:pPr>
      <w:rPr>
        <w:rFonts w:hint="default"/>
        <w:lang w:val="en-US" w:eastAsia="en-US" w:bidi="ar-SA"/>
      </w:rPr>
    </w:lvl>
  </w:abstractNum>
  <w:abstractNum w:abstractNumId="0">
    <w:multiLevelType w:val="hybridMultilevel"/>
    <w:lvl w:ilvl="0">
      <w:start w:val="1"/>
      <w:numFmt w:val="decimal"/>
      <w:lvlText w:val="%1."/>
      <w:lvlJc w:val="left"/>
      <w:pPr>
        <w:ind w:left="542" w:hanging="428"/>
        <w:jc w:val="left"/>
      </w:pPr>
      <w:rPr>
        <w:rFonts w:hint="default" w:ascii="Trebuchet MS" w:hAnsi="Trebuchet MS" w:eastAsia="Trebuchet MS" w:cs="Trebuchet MS"/>
        <w:b/>
        <w:bCs/>
        <w:i w:val="0"/>
        <w:iCs w:val="0"/>
        <w:color w:val="242A82"/>
        <w:spacing w:val="0"/>
        <w:w w:val="100"/>
        <w:sz w:val="28"/>
        <w:szCs w:val="28"/>
        <w:lang w:val="en-US" w:eastAsia="en-US" w:bidi="ar-SA"/>
      </w:rPr>
    </w:lvl>
    <w:lvl w:ilvl="1">
      <w:start w:val="0"/>
      <w:numFmt w:val="bullet"/>
      <w:lvlText w:val=""/>
      <w:lvlJc w:val="left"/>
      <w:pPr>
        <w:ind w:left="835" w:hanging="360"/>
      </w:pPr>
      <w:rPr>
        <w:rFonts w:hint="default" w:ascii="Symbol" w:hAnsi="Symbol" w:eastAsia="Symbol" w:cs="Symbol"/>
        <w:spacing w:val="0"/>
        <w:w w:val="100"/>
        <w:lang w:val="en-US" w:eastAsia="en-US" w:bidi="ar-SA"/>
      </w:rPr>
    </w:lvl>
    <w:lvl w:ilvl="2">
      <w:start w:val="0"/>
      <w:numFmt w:val="bullet"/>
      <w:lvlText w:val="o"/>
      <w:lvlJc w:val="left"/>
      <w:pPr>
        <w:ind w:left="1555" w:hanging="360"/>
      </w:pPr>
      <w:rPr>
        <w:rFonts w:hint="default" w:ascii="Courier New" w:hAnsi="Courier New" w:eastAsia="Courier New" w:cs="Courier New"/>
        <w:b w:val="0"/>
        <w:bCs w:val="0"/>
        <w:i w:val="0"/>
        <w:iCs w:val="0"/>
        <w:spacing w:val="0"/>
        <w:w w:val="100"/>
        <w:sz w:val="22"/>
        <w:szCs w:val="22"/>
        <w:lang w:val="en-US" w:eastAsia="en-US" w:bidi="ar-SA"/>
      </w:rPr>
    </w:lvl>
    <w:lvl w:ilvl="3">
      <w:start w:val="0"/>
      <w:numFmt w:val="bullet"/>
      <w:lvlText w:val="•"/>
      <w:lvlJc w:val="left"/>
      <w:pPr>
        <w:ind w:left="2640" w:hanging="360"/>
      </w:pPr>
      <w:rPr>
        <w:rFonts w:hint="default"/>
        <w:lang w:val="en-US" w:eastAsia="en-US" w:bidi="ar-SA"/>
      </w:rPr>
    </w:lvl>
    <w:lvl w:ilvl="4">
      <w:start w:val="0"/>
      <w:numFmt w:val="bullet"/>
      <w:lvlText w:val="•"/>
      <w:lvlJc w:val="left"/>
      <w:pPr>
        <w:ind w:left="3721" w:hanging="360"/>
      </w:pPr>
      <w:rPr>
        <w:rFonts w:hint="default"/>
        <w:lang w:val="en-US" w:eastAsia="en-US" w:bidi="ar-SA"/>
      </w:rPr>
    </w:lvl>
    <w:lvl w:ilvl="5">
      <w:start w:val="0"/>
      <w:numFmt w:val="bullet"/>
      <w:lvlText w:val="•"/>
      <w:lvlJc w:val="left"/>
      <w:pPr>
        <w:ind w:left="4802" w:hanging="360"/>
      </w:pPr>
      <w:rPr>
        <w:rFonts w:hint="default"/>
        <w:lang w:val="en-US" w:eastAsia="en-US" w:bidi="ar-SA"/>
      </w:rPr>
    </w:lvl>
    <w:lvl w:ilvl="6">
      <w:start w:val="0"/>
      <w:numFmt w:val="bullet"/>
      <w:lvlText w:val="•"/>
      <w:lvlJc w:val="left"/>
      <w:pPr>
        <w:ind w:left="5883" w:hanging="360"/>
      </w:pPr>
      <w:rPr>
        <w:rFonts w:hint="default"/>
        <w:lang w:val="en-US" w:eastAsia="en-US" w:bidi="ar-SA"/>
      </w:rPr>
    </w:lvl>
    <w:lvl w:ilvl="7">
      <w:start w:val="0"/>
      <w:numFmt w:val="bullet"/>
      <w:lvlText w:val="•"/>
      <w:lvlJc w:val="left"/>
      <w:pPr>
        <w:ind w:left="6964" w:hanging="360"/>
      </w:pPr>
      <w:rPr>
        <w:rFonts w:hint="default"/>
        <w:lang w:val="en-US" w:eastAsia="en-US" w:bidi="ar-SA"/>
      </w:rPr>
    </w:lvl>
    <w:lvl w:ilvl="8">
      <w:start w:val="0"/>
      <w:numFmt w:val="bullet"/>
      <w:lvlText w:val="•"/>
      <w:lvlJc w:val="left"/>
      <w:pPr>
        <w:ind w:left="8045"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0"/>
      <w:szCs w:val="20"/>
      <w:lang w:val="en-US" w:eastAsia="en-US" w:bidi="ar-SA"/>
    </w:rPr>
  </w:style>
  <w:style w:styleId="Heading1" w:type="paragraph">
    <w:name w:val="Heading 1"/>
    <w:basedOn w:val="Normal"/>
    <w:uiPriority w:val="1"/>
    <w:qFormat/>
    <w:pPr>
      <w:spacing w:before="90"/>
      <w:ind w:left="541" w:hanging="426"/>
      <w:outlineLvl w:val="1"/>
    </w:pPr>
    <w:rPr>
      <w:rFonts w:ascii="Trebuchet MS" w:hAnsi="Trebuchet MS" w:eastAsia="Trebuchet MS" w:cs="Trebuchet MS"/>
      <w:b/>
      <w:bCs/>
      <w:sz w:val="28"/>
      <w:szCs w:val="28"/>
      <w:lang w:val="en-US" w:eastAsia="en-US" w:bidi="ar-SA"/>
    </w:rPr>
  </w:style>
  <w:style w:styleId="Heading2" w:type="paragraph">
    <w:name w:val="Heading 2"/>
    <w:basedOn w:val="Normal"/>
    <w:uiPriority w:val="1"/>
    <w:qFormat/>
    <w:pPr>
      <w:ind w:left="115"/>
      <w:outlineLvl w:val="2"/>
    </w:pPr>
    <w:rPr>
      <w:rFonts w:ascii="Trebuchet MS" w:hAnsi="Trebuchet MS" w:eastAsia="Trebuchet MS" w:cs="Trebuchet MS"/>
      <w:b/>
      <w:bCs/>
      <w:sz w:val="22"/>
      <w:szCs w:val="22"/>
      <w:lang w:val="en-US" w:eastAsia="en-US" w:bidi="ar-SA"/>
    </w:rPr>
  </w:style>
  <w:style w:styleId="Title" w:type="paragraph">
    <w:name w:val="Title"/>
    <w:basedOn w:val="Normal"/>
    <w:uiPriority w:val="1"/>
    <w:qFormat/>
    <w:pPr>
      <w:spacing w:before="70"/>
      <w:ind w:left="115"/>
    </w:pPr>
    <w:rPr>
      <w:rFonts w:ascii="Trebuchet MS" w:hAnsi="Trebuchet MS" w:eastAsia="Trebuchet MS" w:cs="Trebuchet MS"/>
      <w:b/>
      <w:bCs/>
      <w:sz w:val="48"/>
      <w:szCs w:val="48"/>
      <w:lang w:val="en-US" w:eastAsia="en-US" w:bidi="ar-SA"/>
    </w:rPr>
  </w:style>
  <w:style w:styleId="ListParagraph" w:type="paragraph">
    <w:name w:val="List Paragraph"/>
    <w:basedOn w:val="Normal"/>
    <w:uiPriority w:val="1"/>
    <w:qFormat/>
    <w:pPr>
      <w:ind w:left="835" w:hanging="360"/>
    </w:pPr>
    <w:rPr>
      <w:rFonts w:ascii="Trebuchet MS" w:hAnsi="Trebuchet MS" w:eastAsia="Trebuchet MS" w:cs="Trebuchet M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numbering" Target="numbering.xml"/><Relationship Id="rId7" Type="http://schemas.openxmlformats.org/officeDocument/2006/relationships/hyperlink" Target="http://www.palmscheme.gov.au/palm-scheme-data"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pacificlabourdata@dewr.gov.au" TargetMode="External"/><Relationship Id="rId2" Type="http://schemas.openxmlformats.org/officeDocument/2006/relationships/fontTable" Target="fontTable.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palmscheme.gov.a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PALM@dewr.gov.au" TargetMode="External"/><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1" ma:contentTypeDescription="Create a new document." ma:contentTypeScope="" ma:versionID="0dafc788e76958ee3088611444d14294">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218521fb91f0b04762788b25f1d8821b"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lcf76f155ced4ddcb4097134ff3c332f xmlns="f03d5e79-7380-426f-ba02-e342402b61c5">
      <Terms xmlns="http://schemas.microsoft.com/office/infopath/2007/PartnerControls"/>
    </lcf76f155ced4ddcb4097134ff3c332f>
    <TaxCatchAll xmlns="da88f085-2cc6-4096-a6b8-bc6c7ff15bac">
      <Value>346</Value>
    </TaxCatchAll>
    <DocStatus xmlns="f03d5e79-7380-426f-ba02-e342402b61c5" xsi:nil="true"/>
  </documentManagement>
</p:properties>
</file>

<file path=customXml/itemProps1.xml><?xml version="1.0" encoding="utf-8"?>
<ds:datastoreItem xmlns:ds="http://schemas.openxmlformats.org/officeDocument/2006/customXml" ds:itemID="{400DE926-5878-424A-AC65-9ACC062389D6}"/>
</file>

<file path=customXml/itemProps2.xml><?xml version="1.0" encoding="utf-8"?>
<ds:datastoreItem xmlns:ds="http://schemas.openxmlformats.org/officeDocument/2006/customXml" ds:itemID="{EFAF3D4F-0B40-41AC-B9BE-5B518C2D3DFF}"/>
</file>

<file path=customXml/itemProps3.xml><?xml version="1.0" encoding="utf-8"?>
<ds:datastoreItem xmlns:ds="http://schemas.openxmlformats.org/officeDocument/2006/customXml" ds:itemID="{2012651B-E09E-4E3F-AD62-8B3BC31E423D}"/>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2025-05-06T00:12:01Z</dcterms:created>
  <dcterms:modified xsi:type="dcterms:W3CDTF">2025-05-06T00:12:01Z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 for Microsoft 365</vt:lpwstr>
  </property>
  <property fmtid="{D5CDD505-2E9C-101B-9397-08002B2CF9AE}" pid="4" name="LastSaved">
    <vt:filetime>2025-05-06T00:00:00Z</vt:filetime>
  </property>
  <property fmtid="{D5CDD505-2E9C-101B-9397-08002B2CF9AE}" pid="5" name="MSIP_Label_79d889eb-932f-4752-8739-64d25806ef64_ActionId">
    <vt:lpwstr>0fa4d8d2-1fa5-4e17-934c-d8a7152c5639</vt:lpwstr>
  </property>
  <property fmtid="{D5CDD505-2E9C-101B-9397-08002B2CF9AE}" pid="6" name="MSIP_Label_79d889eb-932f-4752-8739-64d25806ef64_ContentBits">
    <vt:lpwstr>0</vt:lpwstr>
  </property>
  <property fmtid="{D5CDD505-2E9C-101B-9397-08002B2CF9AE}" pid="7" name="MSIP_Label_79d889eb-932f-4752-8739-64d25806ef64_Enabled">
    <vt:lpwstr>true</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etDate">
    <vt:lpwstr>2024-08-28T05:22:30Z</vt:lpwstr>
  </property>
  <property fmtid="{D5CDD505-2E9C-101B-9397-08002B2CF9AE}" pid="11" name="MSIP_Label_79d889eb-932f-4752-8739-64d25806ef64_SiteId">
    <vt:lpwstr>dd0cfd15-4558-4b12-8bad-ea26984fc417</vt:lpwstr>
  </property>
  <property fmtid="{D5CDD505-2E9C-101B-9397-08002B2CF9AE}" pid="12" name="Producer">
    <vt:lpwstr>Microsoft® Word for Microsoft 365</vt:lpwstr>
  </property>
  <property fmtid="{D5CDD505-2E9C-101B-9397-08002B2CF9AE}" pid="13" name="ContentTypeId">
    <vt:lpwstr>0x01010032697D56AE18CB48AEAE25F97242BCF2</vt:lpwstr>
  </property>
  <property fmtid="{D5CDD505-2E9C-101B-9397-08002B2CF9AE}" pid="14" name="PLO_x0020_Team">
    <vt:lpwstr>346;#Public Information Team|1e463189-8038-4688-a3af-5da76ecd9b31</vt:lpwstr>
  </property>
  <property fmtid="{D5CDD505-2E9C-101B-9397-08002B2CF9AE}" pid="15" name="MediaServiceImageTags">
    <vt:lpwstr/>
  </property>
  <property fmtid="{D5CDD505-2E9C-101B-9397-08002B2CF9AE}" pid="16" name="Category_x002f_Type">
    <vt:lpwstr/>
  </property>
  <property fmtid="{D5CDD505-2E9C-101B-9397-08002B2CF9AE}" pid="17" name="PLO Team">
    <vt:lpwstr>346;#Public Information Team|1e463189-8038-4688-a3af-5da76ecd9b31</vt:lpwstr>
  </property>
  <property fmtid="{D5CDD505-2E9C-101B-9397-08002B2CF9AE}" pid="18" name="Category/Type">
    <vt:lpwstr/>
  </property>
</Properties>
</file>